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8"/>
        <w:rPr>
          <w:rFonts w:hint="eastAsia" w:ascii="方正小标宋简体" w:hAnsi="宋体" w:eastAsia="方正小标宋简体" w:cs="宋体"/>
          <w:b/>
          <w:bCs/>
          <w:color w:val="000000"/>
          <w:kern w:val="2"/>
          <w:sz w:val="44"/>
          <w:szCs w:val="44"/>
          <w:lang w:val="en-US" w:eastAsia="zh-CN" w:bidi="ar-SA"/>
        </w:rPr>
      </w:pPr>
      <w:bookmarkStart w:id="0" w:name="_Toc521768942"/>
      <w:r>
        <w:rPr>
          <w:rFonts w:hint="eastAsia" w:ascii="方正小标宋简体" w:hAnsi="宋体" w:eastAsia="方正小标宋简体" w:cs="宋体"/>
          <w:b/>
          <w:bCs/>
          <w:color w:val="000000"/>
          <w:kern w:val="2"/>
          <w:sz w:val="44"/>
          <w:szCs w:val="44"/>
          <w:lang w:val="en-US" w:eastAsia="zh-CN" w:bidi="ar-SA"/>
        </w:rPr>
        <w:t>北京市建设工程招标投标和造价行业</w:t>
      </w:r>
    </w:p>
    <w:p>
      <w:pPr>
        <w:pStyle w:val="28"/>
        <w:rPr>
          <w:rFonts w:hint="eastAsia" w:ascii="方正小标宋简体" w:hAnsi="宋体" w:eastAsia="方正小标宋简体" w:cs="宋体"/>
          <w:b/>
          <w:bCs/>
          <w:color w:val="000000"/>
          <w:kern w:val="2"/>
          <w:sz w:val="44"/>
          <w:szCs w:val="44"/>
          <w:lang w:val="en-US" w:eastAsia="zh-CN" w:bidi="ar-SA"/>
        </w:rPr>
      </w:pPr>
      <w:r>
        <w:rPr>
          <w:rFonts w:hint="eastAsia" w:ascii="方正小标宋简体" w:hAnsi="宋体" w:eastAsia="方正小标宋简体" w:cs="宋体"/>
          <w:b/>
          <w:bCs/>
          <w:color w:val="000000"/>
          <w:kern w:val="2"/>
          <w:sz w:val="44"/>
          <w:szCs w:val="44"/>
          <w:lang w:val="en-US" w:eastAsia="zh-CN" w:bidi="ar-SA"/>
        </w:rPr>
        <w:t>自律公约</w:t>
      </w:r>
    </w:p>
    <w:p>
      <w:pPr>
        <w:pStyle w:val="28"/>
        <w:jc w:val="both"/>
        <w:rPr>
          <w:rFonts w:hint="eastAsia" w:ascii="仿宋" w:hAnsi="仿宋" w:eastAsia="仿宋" w:cs="仿宋"/>
          <w:b/>
          <w:bCs/>
          <w:color w:val="000000"/>
          <w:kern w:val="2"/>
          <w:sz w:val="32"/>
          <w:szCs w:val="32"/>
          <w:lang w:val="en-US" w:eastAsia="zh-CN" w:bidi="ar-SA"/>
        </w:rPr>
      </w:pPr>
      <w:bookmarkStart w:id="1" w:name="_GoBack"/>
      <w:bookmarkEnd w:id="1"/>
    </w:p>
    <w:p>
      <w:pPr>
        <w:pStyle w:val="10"/>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textAlignment w:val="auto"/>
        <w:rPr>
          <w:rFonts w:hint="eastAsia" w:ascii="仿宋" w:hAnsi="仿宋" w:eastAsia="仿宋" w:cs="仿宋"/>
          <w:sz w:val="32"/>
          <w:szCs w:val="32"/>
        </w:rPr>
      </w:pPr>
      <w:r>
        <w:rPr>
          <w:rFonts w:hint="eastAsia" w:ascii="仿宋" w:hAnsi="仿宋" w:eastAsia="仿宋" w:cs="仿宋"/>
          <w:sz w:val="32"/>
          <w:szCs w:val="32"/>
        </w:rPr>
        <w:t>第一章 总则</w:t>
      </w: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firstLine="562"/>
        <w:textAlignment w:val="auto"/>
        <w:rPr>
          <w:rFonts w:hint="eastAsia" w:ascii="仿宋" w:hAnsi="仿宋" w:eastAsia="仿宋" w:cs="仿宋"/>
          <w:sz w:val="32"/>
          <w:szCs w:val="32"/>
        </w:rPr>
      </w:pPr>
      <w:r>
        <w:rPr>
          <w:rFonts w:hint="eastAsia" w:ascii="仿宋" w:hAnsi="仿宋" w:eastAsia="仿宋" w:cs="仿宋"/>
          <w:b/>
          <w:bCs/>
          <w:sz w:val="32"/>
          <w:szCs w:val="32"/>
        </w:rPr>
        <w:t xml:space="preserve">第一条 </w:t>
      </w:r>
      <w:r>
        <w:rPr>
          <w:rFonts w:hint="eastAsia" w:ascii="仿宋" w:hAnsi="仿宋" w:eastAsia="仿宋" w:cs="仿宋"/>
          <w:sz w:val="32"/>
          <w:szCs w:val="32"/>
        </w:rPr>
        <w:t>为规范和维护北京市建设工程招标投标和造价市场秩序及经营行为，促进招标投标和造价行业的健康发展，制止和惩戒行业内的不正当执业行为，对存在不正当执业行为的企业和个人按照协会章程及相关规定给予惩戒，保障招标投标及造价市场各方主体的合法权益，北京市建设工程招标投标和造价管理协会（简称：京标价协）特制定本公约。</w:t>
      </w: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firstLine="562"/>
        <w:textAlignment w:val="auto"/>
        <w:rPr>
          <w:rFonts w:hint="eastAsia" w:ascii="仿宋" w:hAnsi="仿宋" w:eastAsia="仿宋" w:cs="仿宋"/>
          <w:sz w:val="32"/>
          <w:szCs w:val="32"/>
        </w:rPr>
      </w:pPr>
      <w:r>
        <w:rPr>
          <w:rFonts w:hint="eastAsia" w:ascii="仿宋" w:hAnsi="仿宋" w:eastAsia="仿宋" w:cs="仿宋"/>
          <w:b/>
          <w:bCs/>
          <w:sz w:val="32"/>
          <w:szCs w:val="32"/>
        </w:rPr>
        <w:t>第二条</w:t>
      </w:r>
      <w:r>
        <w:rPr>
          <w:rFonts w:hint="eastAsia" w:ascii="仿宋" w:hAnsi="仿宋" w:eastAsia="仿宋" w:cs="仿宋"/>
          <w:sz w:val="32"/>
          <w:szCs w:val="32"/>
        </w:rPr>
        <w:t xml:space="preserve"> 本公约依据《中华人民共和国合同法》、《中华人民共和国招标投标法》、《工程造价咨询企业管理办法》(建设部令第149号)、《工程咨询行业管理办法》(国家发改委令第9号)等有关法律法规以及北京市相关政策文件制定。</w:t>
      </w: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firstLine="562"/>
        <w:textAlignment w:val="auto"/>
        <w:rPr>
          <w:rFonts w:hint="eastAsia" w:ascii="仿宋" w:hAnsi="仿宋" w:eastAsia="仿宋" w:cs="仿宋"/>
          <w:sz w:val="32"/>
          <w:szCs w:val="32"/>
        </w:rPr>
      </w:pPr>
      <w:r>
        <w:rPr>
          <w:rFonts w:hint="eastAsia" w:ascii="仿宋" w:hAnsi="仿宋" w:eastAsia="仿宋" w:cs="仿宋"/>
          <w:b/>
          <w:bCs/>
          <w:sz w:val="32"/>
          <w:szCs w:val="32"/>
        </w:rPr>
        <w:t>第三条</w:t>
      </w:r>
      <w:r>
        <w:rPr>
          <w:rFonts w:hint="eastAsia" w:ascii="仿宋" w:hAnsi="仿宋" w:eastAsia="仿宋" w:cs="仿宋"/>
          <w:sz w:val="32"/>
          <w:szCs w:val="32"/>
        </w:rPr>
        <w:t xml:space="preserve"> 本公约是规范在本市行政区域范围内，从事招标投标和造价相关业务的企业和个人的行为准则。</w:t>
      </w: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firstLine="562"/>
        <w:textAlignment w:val="auto"/>
        <w:rPr>
          <w:rFonts w:hint="eastAsia" w:ascii="仿宋" w:hAnsi="仿宋" w:eastAsia="仿宋" w:cs="仿宋"/>
          <w:sz w:val="32"/>
          <w:szCs w:val="32"/>
        </w:rPr>
      </w:pPr>
      <w:r>
        <w:rPr>
          <w:rFonts w:hint="eastAsia" w:ascii="仿宋" w:hAnsi="仿宋" w:eastAsia="仿宋" w:cs="仿宋"/>
          <w:b/>
          <w:bCs/>
          <w:sz w:val="32"/>
          <w:szCs w:val="32"/>
        </w:rPr>
        <w:t>第四条</w:t>
      </w:r>
      <w:r>
        <w:rPr>
          <w:rFonts w:hint="eastAsia" w:ascii="仿宋" w:hAnsi="仿宋" w:eastAsia="仿宋" w:cs="仿宋"/>
          <w:sz w:val="32"/>
          <w:szCs w:val="32"/>
        </w:rPr>
        <w:t xml:space="preserve"> 凡京标价协会员，均应同意并遵守本公约，并接受京标价协依据本公约进行的监督管理。倡议、鼓励其他与行业相关的非会员企业或个人遵守本公约。</w:t>
      </w:r>
    </w:p>
    <w:p>
      <w:pPr>
        <w:pStyle w:val="10"/>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textAlignment w:val="auto"/>
        <w:rPr>
          <w:rFonts w:hint="eastAsia" w:ascii="仿宋" w:hAnsi="仿宋" w:eastAsia="仿宋" w:cs="仿宋"/>
          <w:sz w:val="32"/>
          <w:szCs w:val="32"/>
        </w:rPr>
      </w:pPr>
      <w:r>
        <w:rPr>
          <w:rFonts w:hint="eastAsia" w:ascii="仿宋" w:hAnsi="仿宋" w:eastAsia="仿宋" w:cs="仿宋"/>
          <w:sz w:val="32"/>
          <w:szCs w:val="32"/>
        </w:rPr>
        <w:t>第二章 公约的监督与管理</w:t>
      </w: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firstLine="562"/>
        <w:textAlignment w:val="auto"/>
        <w:rPr>
          <w:rFonts w:hint="eastAsia" w:ascii="仿宋" w:hAnsi="仿宋" w:eastAsia="仿宋" w:cs="仿宋"/>
          <w:sz w:val="32"/>
          <w:szCs w:val="32"/>
        </w:rPr>
      </w:pPr>
      <w:r>
        <w:rPr>
          <w:rFonts w:hint="eastAsia" w:ascii="仿宋" w:hAnsi="仿宋" w:eastAsia="仿宋" w:cs="仿宋"/>
          <w:b/>
          <w:bCs/>
          <w:sz w:val="32"/>
          <w:szCs w:val="32"/>
        </w:rPr>
        <w:t>第五条</w:t>
      </w:r>
      <w:r>
        <w:rPr>
          <w:rFonts w:hint="eastAsia" w:ascii="仿宋" w:hAnsi="仿宋" w:eastAsia="仿宋" w:cs="仿宋"/>
          <w:sz w:val="32"/>
          <w:szCs w:val="32"/>
        </w:rPr>
        <w:t xml:space="preserve"> 京标价协是本公约的监督和管理单位，负责公约的组织、执行和受理违反公约行为的投诉、举报及申诉。</w:t>
      </w: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firstLine="562"/>
        <w:textAlignment w:val="auto"/>
        <w:rPr>
          <w:rFonts w:hint="eastAsia" w:ascii="仿宋" w:hAnsi="仿宋" w:eastAsia="仿宋" w:cs="仿宋"/>
          <w:sz w:val="32"/>
          <w:szCs w:val="32"/>
        </w:rPr>
      </w:pPr>
      <w:r>
        <w:rPr>
          <w:rFonts w:hint="eastAsia" w:ascii="仿宋" w:hAnsi="仿宋" w:eastAsia="仿宋" w:cs="仿宋"/>
          <w:b/>
          <w:bCs/>
          <w:sz w:val="32"/>
          <w:szCs w:val="32"/>
        </w:rPr>
        <w:t>第六条</w:t>
      </w:r>
      <w:r>
        <w:rPr>
          <w:rFonts w:hint="eastAsia" w:ascii="仿宋" w:hAnsi="仿宋" w:eastAsia="仿宋" w:cs="仿宋"/>
          <w:sz w:val="32"/>
          <w:szCs w:val="32"/>
        </w:rPr>
        <w:t xml:space="preserve"> 签约企业或个人享有以下权利和义务：</w:t>
      </w: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firstLine="560"/>
        <w:textAlignment w:val="auto"/>
        <w:rPr>
          <w:rFonts w:hint="eastAsia" w:ascii="仿宋" w:hAnsi="仿宋" w:eastAsia="仿宋" w:cs="仿宋"/>
          <w:sz w:val="32"/>
          <w:szCs w:val="32"/>
        </w:rPr>
      </w:pPr>
      <w:r>
        <w:rPr>
          <w:rFonts w:hint="eastAsia" w:ascii="仿宋" w:hAnsi="仿宋" w:eastAsia="仿宋" w:cs="仿宋"/>
          <w:sz w:val="32"/>
          <w:szCs w:val="32"/>
        </w:rPr>
        <w:t>（一）权利：</w:t>
      </w: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firstLine="560"/>
        <w:textAlignment w:val="auto"/>
        <w:rPr>
          <w:rFonts w:hint="eastAsia" w:ascii="仿宋" w:hAnsi="仿宋" w:eastAsia="仿宋" w:cs="仿宋"/>
          <w:sz w:val="32"/>
          <w:szCs w:val="32"/>
        </w:rPr>
      </w:pPr>
      <w:r>
        <w:rPr>
          <w:rFonts w:hint="eastAsia" w:ascii="仿宋" w:hAnsi="仿宋" w:eastAsia="仿宋" w:cs="仿宋"/>
          <w:sz w:val="32"/>
          <w:szCs w:val="32"/>
        </w:rPr>
        <w:t>1.要求京标价协对与招标投标和造价行业相关的不正当行为进行调查处理；</w:t>
      </w: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firstLine="560"/>
        <w:textAlignment w:val="auto"/>
        <w:rPr>
          <w:rFonts w:hint="eastAsia" w:ascii="仿宋" w:hAnsi="仿宋" w:eastAsia="仿宋" w:cs="仿宋"/>
          <w:sz w:val="32"/>
          <w:szCs w:val="32"/>
        </w:rPr>
      </w:pPr>
      <w:r>
        <w:rPr>
          <w:rFonts w:hint="eastAsia" w:ascii="仿宋" w:hAnsi="仿宋" w:eastAsia="仿宋" w:cs="仿宋"/>
          <w:sz w:val="32"/>
          <w:szCs w:val="32"/>
        </w:rPr>
        <w:t>2.对涉及本企业或本人的违约行为，本着实事求是、合理、合法的原则进行申诉；</w:t>
      </w: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firstLine="560"/>
        <w:textAlignment w:val="auto"/>
        <w:rPr>
          <w:rFonts w:hint="eastAsia" w:ascii="仿宋" w:hAnsi="仿宋" w:eastAsia="仿宋" w:cs="仿宋"/>
          <w:sz w:val="32"/>
          <w:szCs w:val="32"/>
        </w:rPr>
      </w:pPr>
      <w:r>
        <w:rPr>
          <w:rFonts w:hint="eastAsia" w:ascii="仿宋" w:hAnsi="仿宋" w:eastAsia="仿宋" w:cs="仿宋"/>
          <w:sz w:val="32"/>
          <w:szCs w:val="32"/>
        </w:rPr>
        <w:t>3.对京标价协执行本公约的合规性和公正性进行监督，有权向上级机关检举京标价协或其工作人员违法、违规行为；</w:t>
      </w: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firstLine="560"/>
        <w:textAlignment w:val="auto"/>
        <w:rPr>
          <w:rFonts w:hint="eastAsia" w:ascii="仿宋" w:hAnsi="仿宋" w:eastAsia="仿宋" w:cs="仿宋"/>
          <w:sz w:val="32"/>
          <w:szCs w:val="32"/>
        </w:rPr>
      </w:pPr>
      <w:r>
        <w:rPr>
          <w:rFonts w:hint="eastAsia" w:ascii="仿宋" w:hAnsi="仿宋" w:eastAsia="仿宋" w:cs="仿宋"/>
          <w:sz w:val="32"/>
          <w:szCs w:val="32"/>
        </w:rPr>
        <w:t>4.抵制、举报、投诉相关主体的违约行为，举报和投诉行为应当以书面、具实名的方式向京标价协提出，并附上相关证据。</w:t>
      </w: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firstLine="560"/>
        <w:textAlignment w:val="auto"/>
        <w:rPr>
          <w:rFonts w:hint="eastAsia" w:ascii="仿宋" w:hAnsi="仿宋" w:eastAsia="仿宋" w:cs="仿宋"/>
          <w:sz w:val="32"/>
          <w:szCs w:val="32"/>
        </w:rPr>
      </w:pPr>
      <w:r>
        <w:rPr>
          <w:rFonts w:hint="eastAsia" w:ascii="仿宋" w:hAnsi="仿宋" w:eastAsia="仿宋" w:cs="仿宋"/>
          <w:sz w:val="32"/>
          <w:szCs w:val="32"/>
        </w:rPr>
        <w:t>（二）义务：</w:t>
      </w: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firstLine="560"/>
        <w:textAlignment w:val="auto"/>
        <w:rPr>
          <w:rFonts w:hint="eastAsia" w:ascii="仿宋" w:hAnsi="仿宋" w:eastAsia="仿宋" w:cs="仿宋"/>
          <w:sz w:val="32"/>
          <w:szCs w:val="32"/>
        </w:rPr>
      </w:pPr>
      <w:r>
        <w:rPr>
          <w:rFonts w:hint="eastAsia" w:ascii="仿宋" w:hAnsi="仿宋" w:eastAsia="仿宋" w:cs="仿宋"/>
          <w:sz w:val="32"/>
          <w:szCs w:val="32"/>
        </w:rPr>
        <w:t>1.自觉履行本公约；</w:t>
      </w: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firstLine="560"/>
        <w:textAlignment w:val="auto"/>
        <w:rPr>
          <w:rFonts w:hint="eastAsia" w:ascii="仿宋" w:hAnsi="仿宋" w:eastAsia="仿宋" w:cs="仿宋"/>
          <w:sz w:val="32"/>
          <w:szCs w:val="32"/>
        </w:rPr>
      </w:pPr>
      <w:r>
        <w:rPr>
          <w:rFonts w:hint="eastAsia" w:ascii="仿宋" w:hAnsi="仿宋" w:eastAsia="仿宋" w:cs="仿宋"/>
          <w:sz w:val="32"/>
          <w:szCs w:val="32"/>
        </w:rPr>
        <w:t>2.参与或协助京标价协对违约行为的调查处理。</w:t>
      </w:r>
    </w:p>
    <w:p>
      <w:pPr>
        <w:pStyle w:val="10"/>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textAlignment w:val="auto"/>
        <w:rPr>
          <w:rFonts w:hint="eastAsia" w:ascii="仿宋" w:hAnsi="仿宋" w:eastAsia="仿宋" w:cs="仿宋"/>
          <w:sz w:val="32"/>
          <w:szCs w:val="32"/>
        </w:rPr>
      </w:pPr>
      <w:r>
        <w:rPr>
          <w:rFonts w:hint="eastAsia" w:ascii="仿宋" w:hAnsi="仿宋" w:eastAsia="仿宋" w:cs="仿宋"/>
          <w:sz w:val="32"/>
          <w:szCs w:val="32"/>
        </w:rPr>
        <w:t>第三章 职业道德和行业自律</w:t>
      </w: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firstLine="562"/>
        <w:textAlignment w:val="auto"/>
        <w:rPr>
          <w:rFonts w:hint="eastAsia" w:ascii="仿宋" w:hAnsi="仿宋" w:eastAsia="仿宋" w:cs="仿宋"/>
          <w:sz w:val="32"/>
          <w:szCs w:val="32"/>
        </w:rPr>
      </w:pPr>
      <w:r>
        <w:rPr>
          <w:rFonts w:hint="eastAsia" w:ascii="仿宋" w:hAnsi="仿宋" w:eastAsia="仿宋" w:cs="仿宋"/>
          <w:b/>
          <w:bCs/>
          <w:sz w:val="32"/>
          <w:szCs w:val="32"/>
        </w:rPr>
        <w:t>第七条</w:t>
      </w:r>
      <w:r>
        <w:rPr>
          <w:rFonts w:hint="eastAsia" w:ascii="仿宋" w:hAnsi="仿宋" w:eastAsia="仿宋" w:cs="仿宋"/>
          <w:sz w:val="32"/>
          <w:szCs w:val="32"/>
        </w:rPr>
        <w:t xml:space="preserve"> 自觉遵守国家有关招标投标和造价行业的法律、法规和政策，共同维护本公约。</w:t>
      </w: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firstLine="562"/>
        <w:textAlignment w:val="auto"/>
        <w:rPr>
          <w:rFonts w:hint="eastAsia" w:ascii="仿宋" w:hAnsi="仿宋" w:eastAsia="仿宋" w:cs="仿宋"/>
          <w:sz w:val="32"/>
          <w:szCs w:val="32"/>
        </w:rPr>
      </w:pPr>
      <w:r>
        <w:rPr>
          <w:rFonts w:hint="eastAsia" w:ascii="仿宋" w:hAnsi="仿宋" w:eastAsia="仿宋" w:cs="仿宋"/>
          <w:b/>
          <w:bCs/>
          <w:sz w:val="32"/>
          <w:szCs w:val="32"/>
        </w:rPr>
        <w:t>第八条</w:t>
      </w:r>
      <w:r>
        <w:rPr>
          <w:rFonts w:hint="eastAsia" w:ascii="仿宋" w:hAnsi="仿宋" w:eastAsia="仿宋" w:cs="仿宋"/>
          <w:sz w:val="32"/>
          <w:szCs w:val="32"/>
        </w:rPr>
        <w:t xml:space="preserve"> 鼓励和支持开展合法、公平、有序的行业竞争，反对不正当竞争行为。</w:t>
      </w: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firstLine="562"/>
        <w:textAlignment w:val="auto"/>
        <w:rPr>
          <w:rFonts w:hint="eastAsia" w:ascii="仿宋" w:hAnsi="仿宋" w:eastAsia="仿宋" w:cs="仿宋"/>
          <w:sz w:val="32"/>
          <w:szCs w:val="32"/>
        </w:rPr>
      </w:pPr>
      <w:r>
        <w:rPr>
          <w:rFonts w:hint="eastAsia" w:ascii="仿宋" w:hAnsi="仿宋" w:eastAsia="仿宋" w:cs="仿宋"/>
          <w:b/>
          <w:bCs/>
          <w:sz w:val="32"/>
          <w:szCs w:val="32"/>
        </w:rPr>
        <w:t>第九条</w:t>
      </w:r>
      <w:r>
        <w:rPr>
          <w:rFonts w:hint="eastAsia" w:ascii="仿宋" w:hAnsi="仿宋" w:eastAsia="仿宋" w:cs="仿宋"/>
          <w:sz w:val="32"/>
          <w:szCs w:val="32"/>
        </w:rPr>
        <w:t xml:space="preserve"> 自觉维护委托方的合法权益，保守委托方的信息秘密；不利用开展业务获取的信息从事任何与合同约定无关的活动。</w:t>
      </w: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firstLine="562"/>
        <w:textAlignment w:val="auto"/>
        <w:rPr>
          <w:rFonts w:hint="eastAsia" w:ascii="仿宋" w:hAnsi="仿宋" w:eastAsia="仿宋" w:cs="仿宋"/>
          <w:sz w:val="32"/>
          <w:szCs w:val="32"/>
        </w:rPr>
      </w:pPr>
      <w:r>
        <w:rPr>
          <w:rFonts w:hint="eastAsia" w:ascii="仿宋" w:hAnsi="仿宋" w:eastAsia="仿宋" w:cs="仿宋"/>
          <w:b/>
          <w:bCs/>
          <w:sz w:val="32"/>
          <w:szCs w:val="32"/>
        </w:rPr>
        <w:t>第十条</w:t>
      </w:r>
      <w:r>
        <w:rPr>
          <w:rFonts w:hint="eastAsia" w:ascii="仿宋" w:hAnsi="仿宋" w:eastAsia="仿宋" w:cs="仿宋"/>
          <w:sz w:val="32"/>
          <w:szCs w:val="32"/>
        </w:rPr>
        <w:t xml:space="preserve"> 尊重其他同行企业及个人的知识产权，不得抄袭、盗用其他企业或个人的成果文件。</w:t>
      </w: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firstLine="562"/>
        <w:textAlignment w:val="auto"/>
        <w:rPr>
          <w:rFonts w:hint="eastAsia" w:ascii="仿宋" w:hAnsi="仿宋" w:eastAsia="仿宋" w:cs="仿宋"/>
          <w:sz w:val="32"/>
          <w:szCs w:val="32"/>
        </w:rPr>
      </w:pPr>
      <w:r>
        <w:rPr>
          <w:rFonts w:hint="eastAsia" w:ascii="仿宋" w:hAnsi="仿宋" w:eastAsia="仿宋" w:cs="仿宋"/>
          <w:b/>
          <w:bCs/>
          <w:sz w:val="32"/>
          <w:szCs w:val="32"/>
        </w:rPr>
        <w:t>第十一条</w:t>
      </w:r>
      <w:r>
        <w:rPr>
          <w:rFonts w:hint="eastAsia" w:ascii="仿宋" w:hAnsi="仿宋" w:eastAsia="仿宋" w:cs="仿宋"/>
          <w:sz w:val="32"/>
          <w:szCs w:val="32"/>
        </w:rPr>
        <w:t xml:space="preserve"> 依法承接业务，不得以不正当手段承揽业务。不得干预委托方的选择，不得采用不正当的方式垄断或变相垄断一个行业、地区、单位的业务。</w:t>
      </w: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firstLine="562"/>
        <w:textAlignment w:val="auto"/>
        <w:rPr>
          <w:rFonts w:hint="eastAsia" w:ascii="仿宋" w:hAnsi="仿宋" w:eastAsia="仿宋" w:cs="仿宋"/>
          <w:sz w:val="32"/>
          <w:szCs w:val="32"/>
        </w:rPr>
      </w:pPr>
      <w:r>
        <w:rPr>
          <w:rFonts w:hint="eastAsia" w:ascii="仿宋" w:hAnsi="仿宋" w:eastAsia="仿宋" w:cs="仿宋"/>
          <w:b/>
          <w:bCs/>
          <w:sz w:val="32"/>
          <w:szCs w:val="32"/>
        </w:rPr>
        <w:t>第十二条</w:t>
      </w:r>
      <w:r>
        <w:rPr>
          <w:rFonts w:hint="eastAsia" w:ascii="仿宋" w:hAnsi="仿宋" w:eastAsia="仿宋" w:cs="仿宋"/>
          <w:sz w:val="32"/>
          <w:szCs w:val="32"/>
        </w:rPr>
        <w:t xml:space="preserve"> 应当在业务合同中合理约定价格，不得恶意压低价格。</w:t>
      </w: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firstLine="562"/>
        <w:textAlignment w:val="auto"/>
        <w:rPr>
          <w:rFonts w:hint="eastAsia" w:ascii="仿宋" w:hAnsi="仿宋" w:eastAsia="仿宋" w:cs="仿宋"/>
          <w:sz w:val="32"/>
          <w:szCs w:val="32"/>
        </w:rPr>
      </w:pPr>
      <w:r>
        <w:rPr>
          <w:rFonts w:hint="eastAsia" w:ascii="仿宋" w:hAnsi="仿宋" w:eastAsia="仿宋" w:cs="仿宋"/>
          <w:b/>
          <w:bCs/>
          <w:sz w:val="32"/>
          <w:szCs w:val="32"/>
        </w:rPr>
        <w:t>第十三条</w:t>
      </w:r>
      <w:r>
        <w:rPr>
          <w:rFonts w:hint="eastAsia" w:ascii="仿宋" w:hAnsi="仿宋" w:eastAsia="仿宋" w:cs="仿宋"/>
          <w:sz w:val="32"/>
          <w:szCs w:val="32"/>
        </w:rPr>
        <w:t xml:space="preserve"> 在执业活动中，应当依靠本企业自身的人力资源和技术力量完成委托人委托的业务，不得挂靠或转包业务；遵守回避制度、保密制度、执业操守、职业道德、行为准则等制度。</w:t>
      </w: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firstLine="562"/>
        <w:textAlignment w:val="auto"/>
        <w:rPr>
          <w:rFonts w:hint="eastAsia" w:ascii="仿宋" w:hAnsi="仿宋" w:eastAsia="仿宋" w:cs="仿宋"/>
          <w:sz w:val="32"/>
          <w:szCs w:val="32"/>
        </w:rPr>
      </w:pPr>
      <w:r>
        <w:rPr>
          <w:rFonts w:hint="eastAsia" w:ascii="仿宋" w:hAnsi="仿宋" w:eastAsia="仿宋" w:cs="仿宋"/>
          <w:b/>
          <w:bCs/>
          <w:sz w:val="32"/>
          <w:szCs w:val="32"/>
        </w:rPr>
        <w:t>第十四条</w:t>
      </w:r>
      <w:r>
        <w:rPr>
          <w:rFonts w:hint="eastAsia" w:ascii="仿宋" w:hAnsi="仿宋" w:eastAsia="仿宋" w:cs="仿宋"/>
          <w:sz w:val="32"/>
          <w:szCs w:val="32"/>
        </w:rPr>
        <w:t xml:space="preserve"> 应当完善内部管理机制，建立合法、适用、有本企业特征的服务体系，并教育和要求本企业从业人员依法执业，遵守职业道德。</w:t>
      </w: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firstLine="562"/>
        <w:textAlignment w:val="auto"/>
        <w:rPr>
          <w:rFonts w:hint="eastAsia" w:ascii="仿宋" w:hAnsi="仿宋" w:eastAsia="仿宋" w:cs="仿宋"/>
          <w:sz w:val="32"/>
          <w:szCs w:val="32"/>
        </w:rPr>
      </w:pPr>
      <w:r>
        <w:rPr>
          <w:rFonts w:hint="eastAsia" w:ascii="仿宋" w:hAnsi="仿宋" w:eastAsia="仿宋" w:cs="仿宋"/>
          <w:b/>
          <w:bCs/>
          <w:sz w:val="32"/>
          <w:szCs w:val="32"/>
        </w:rPr>
        <w:t>第十五条</w:t>
      </w:r>
      <w:r>
        <w:rPr>
          <w:rFonts w:hint="eastAsia" w:ascii="仿宋" w:hAnsi="仿宋" w:eastAsia="仿宋" w:cs="仿宋"/>
          <w:sz w:val="32"/>
          <w:szCs w:val="32"/>
        </w:rPr>
        <w:t xml:space="preserve"> 应当严格按照《劳动法》及相关规定聘用职员，与职员签订劳动合同，依法维护职员的合法权益。</w:t>
      </w: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firstLine="562"/>
        <w:textAlignment w:val="auto"/>
        <w:rPr>
          <w:rFonts w:hint="eastAsia" w:ascii="仿宋" w:hAnsi="仿宋" w:eastAsia="仿宋" w:cs="仿宋"/>
          <w:sz w:val="32"/>
          <w:szCs w:val="32"/>
        </w:rPr>
      </w:pPr>
      <w:r>
        <w:rPr>
          <w:rFonts w:hint="eastAsia" w:ascii="仿宋" w:hAnsi="仿宋" w:eastAsia="仿宋" w:cs="仿宋"/>
          <w:b/>
          <w:bCs/>
          <w:sz w:val="32"/>
          <w:szCs w:val="32"/>
        </w:rPr>
        <w:t>第十六条</w:t>
      </w:r>
      <w:r>
        <w:rPr>
          <w:rFonts w:hint="eastAsia" w:ascii="仿宋" w:hAnsi="仿宋" w:eastAsia="仿宋" w:cs="仿宋"/>
          <w:sz w:val="32"/>
          <w:szCs w:val="32"/>
        </w:rPr>
        <w:t xml:space="preserve"> 应当积极参与行业相关政策法规及技术性示范文件等的制定、修订、研讨，与政府管理机构、行业协会保持积极的沟通，为提高本行业规范化程度贡献力量。  </w:t>
      </w:r>
    </w:p>
    <w:p>
      <w:pPr>
        <w:pStyle w:val="10"/>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textAlignment w:val="auto"/>
        <w:rPr>
          <w:rFonts w:hint="eastAsia" w:ascii="仿宋" w:hAnsi="仿宋" w:eastAsia="仿宋" w:cs="仿宋"/>
          <w:sz w:val="32"/>
          <w:szCs w:val="32"/>
        </w:rPr>
      </w:pPr>
      <w:r>
        <w:rPr>
          <w:rFonts w:hint="eastAsia" w:ascii="仿宋" w:hAnsi="仿宋" w:eastAsia="仿宋" w:cs="仿宋"/>
          <w:sz w:val="32"/>
          <w:szCs w:val="32"/>
        </w:rPr>
        <w:t>第四章 惩戒与奖励</w:t>
      </w: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firstLine="562"/>
        <w:textAlignment w:val="auto"/>
        <w:rPr>
          <w:rFonts w:hint="eastAsia" w:ascii="仿宋" w:hAnsi="仿宋" w:eastAsia="仿宋" w:cs="仿宋"/>
          <w:sz w:val="32"/>
          <w:szCs w:val="32"/>
        </w:rPr>
      </w:pPr>
      <w:r>
        <w:rPr>
          <w:rFonts w:hint="eastAsia" w:ascii="仿宋" w:hAnsi="仿宋" w:eastAsia="仿宋" w:cs="仿宋"/>
          <w:b/>
          <w:bCs/>
          <w:sz w:val="32"/>
          <w:szCs w:val="32"/>
        </w:rPr>
        <w:t>第十七条</w:t>
      </w:r>
      <w:r>
        <w:rPr>
          <w:rFonts w:hint="eastAsia" w:ascii="仿宋" w:hAnsi="仿宋" w:eastAsia="仿宋" w:cs="仿宋"/>
          <w:sz w:val="32"/>
          <w:szCs w:val="32"/>
        </w:rPr>
        <w:t xml:space="preserve"> 如违反本公约，经京标价协调查核实后，将根据情节轻重、造成影响和损失等情况，分别给予下列惩戒处理或向有关行政监督部门提出处理建议：</w:t>
      </w: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firstLine="560"/>
        <w:textAlignment w:val="auto"/>
        <w:rPr>
          <w:rFonts w:hint="eastAsia" w:ascii="仿宋" w:hAnsi="仿宋" w:eastAsia="仿宋" w:cs="仿宋"/>
          <w:sz w:val="32"/>
          <w:szCs w:val="32"/>
        </w:rPr>
      </w:pPr>
      <w:r>
        <w:rPr>
          <w:rFonts w:hint="eastAsia" w:ascii="仿宋" w:hAnsi="仿宋" w:eastAsia="仿宋" w:cs="仿宋"/>
          <w:sz w:val="32"/>
          <w:szCs w:val="32"/>
        </w:rPr>
        <w:t>（一）通报批评、责成书面检查；</w:t>
      </w: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firstLine="560"/>
        <w:textAlignment w:val="auto"/>
        <w:rPr>
          <w:rFonts w:hint="eastAsia" w:ascii="仿宋" w:hAnsi="仿宋" w:eastAsia="仿宋" w:cs="仿宋"/>
          <w:sz w:val="32"/>
          <w:szCs w:val="32"/>
        </w:rPr>
      </w:pPr>
      <w:r>
        <w:rPr>
          <w:rFonts w:hint="eastAsia" w:ascii="仿宋" w:hAnsi="仿宋" w:eastAsia="仿宋" w:cs="仿宋"/>
          <w:sz w:val="32"/>
          <w:szCs w:val="32"/>
        </w:rPr>
        <w:t>（二）两年内暂停参加京标价协评优、诚信评价等活动，已取得京标价协诚信评价等级证书的，按照相关文件规定处理，并在京标价协期刊、网站、公众号或相关媒体上公告；</w:t>
      </w: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firstLine="560"/>
        <w:textAlignment w:val="auto"/>
        <w:rPr>
          <w:rFonts w:hint="eastAsia" w:ascii="仿宋" w:hAnsi="仿宋" w:eastAsia="仿宋" w:cs="仿宋"/>
          <w:sz w:val="32"/>
          <w:szCs w:val="32"/>
        </w:rPr>
      </w:pPr>
      <w:r>
        <w:rPr>
          <w:rFonts w:hint="eastAsia" w:ascii="仿宋" w:hAnsi="仿宋" w:eastAsia="仿宋" w:cs="仿宋"/>
          <w:sz w:val="32"/>
          <w:szCs w:val="32"/>
        </w:rPr>
        <w:t>（三）建议政府有关管理部门按规定给予限期整改、停业整顿、降低或撤消企业资质，暂停或撤销个人执业资格或其他行政处罚；构成犯罪的，依法追究刑事责任。</w:t>
      </w: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firstLine="562"/>
        <w:textAlignment w:val="auto"/>
        <w:rPr>
          <w:rFonts w:hint="eastAsia" w:ascii="仿宋" w:hAnsi="仿宋" w:eastAsia="仿宋" w:cs="仿宋"/>
          <w:sz w:val="32"/>
          <w:szCs w:val="32"/>
        </w:rPr>
      </w:pPr>
      <w:r>
        <w:rPr>
          <w:rFonts w:hint="eastAsia" w:ascii="仿宋" w:hAnsi="仿宋" w:eastAsia="仿宋" w:cs="仿宋"/>
          <w:b/>
          <w:bCs/>
          <w:sz w:val="32"/>
          <w:szCs w:val="32"/>
        </w:rPr>
        <w:t>第十八条</w:t>
      </w:r>
      <w:r>
        <w:rPr>
          <w:rFonts w:hint="eastAsia" w:ascii="仿宋" w:hAnsi="仿宋" w:eastAsia="仿宋" w:cs="仿宋"/>
          <w:sz w:val="32"/>
          <w:szCs w:val="32"/>
        </w:rPr>
        <w:t xml:space="preserve"> 在本行业中贡献突出的，在行业评比中获得优胜的，给予表彰或奖励，并将结果在有关媒体上向社会公布。</w:t>
      </w:r>
    </w:p>
    <w:p>
      <w:pPr>
        <w:pStyle w:val="10"/>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textAlignment w:val="auto"/>
        <w:rPr>
          <w:rFonts w:hint="eastAsia" w:ascii="仿宋" w:hAnsi="仿宋" w:eastAsia="仿宋" w:cs="仿宋"/>
          <w:sz w:val="32"/>
          <w:szCs w:val="32"/>
        </w:rPr>
      </w:pPr>
      <w:r>
        <w:rPr>
          <w:rFonts w:hint="eastAsia" w:ascii="仿宋" w:hAnsi="仿宋" w:eastAsia="仿宋" w:cs="仿宋"/>
          <w:sz w:val="32"/>
          <w:szCs w:val="32"/>
        </w:rPr>
        <w:t>第五章 附则</w:t>
      </w: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firstLine="562"/>
        <w:textAlignment w:val="auto"/>
        <w:rPr>
          <w:rFonts w:hint="eastAsia" w:ascii="仿宋" w:hAnsi="仿宋" w:eastAsia="仿宋" w:cs="仿宋"/>
          <w:sz w:val="32"/>
          <w:szCs w:val="32"/>
        </w:rPr>
      </w:pPr>
      <w:r>
        <w:rPr>
          <w:rFonts w:hint="eastAsia" w:ascii="仿宋" w:hAnsi="仿宋" w:eastAsia="仿宋" w:cs="仿宋"/>
          <w:b/>
          <w:bCs/>
          <w:sz w:val="32"/>
          <w:szCs w:val="32"/>
        </w:rPr>
        <w:t>第十九条</w:t>
      </w:r>
      <w:r>
        <w:rPr>
          <w:rFonts w:hint="eastAsia" w:ascii="仿宋" w:hAnsi="仿宋" w:eastAsia="仿宋" w:cs="仿宋"/>
          <w:sz w:val="32"/>
          <w:szCs w:val="32"/>
        </w:rPr>
        <w:t xml:space="preserve"> 本公约由京标价协秘书处负责解释、修订。</w:t>
      </w: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firstLine="562"/>
        <w:textAlignment w:val="auto"/>
        <w:rPr>
          <w:rFonts w:hint="eastAsia" w:ascii="仿宋" w:hAnsi="仿宋" w:eastAsia="仿宋" w:cs="仿宋"/>
          <w:sz w:val="32"/>
          <w:szCs w:val="32"/>
        </w:rPr>
      </w:pPr>
      <w:r>
        <w:rPr>
          <w:rFonts w:hint="eastAsia" w:ascii="仿宋" w:hAnsi="仿宋" w:eastAsia="仿宋" w:cs="仿宋"/>
          <w:b/>
          <w:bCs/>
          <w:sz w:val="32"/>
          <w:szCs w:val="32"/>
        </w:rPr>
        <w:t>第二十条</w:t>
      </w:r>
      <w:r>
        <w:rPr>
          <w:rFonts w:hint="eastAsia" w:ascii="仿宋" w:hAnsi="仿宋" w:eastAsia="仿宋" w:cs="仿宋"/>
          <w:sz w:val="32"/>
          <w:szCs w:val="32"/>
        </w:rPr>
        <w:t xml:space="preserve"> 本办法经京标价协一届三次会长办公审议通过，自发布之日起实施。</w:t>
      </w: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firstLine="560"/>
        <w:jc w:val="right"/>
        <w:textAlignment w:val="auto"/>
        <w:rPr>
          <w:rFonts w:hint="eastAsia" w:ascii="仿宋" w:hAnsi="仿宋" w:eastAsia="仿宋" w:cs="仿宋"/>
          <w:sz w:val="32"/>
          <w:szCs w:val="32"/>
        </w:rPr>
      </w:pPr>
      <w:r>
        <w:rPr>
          <w:rFonts w:hint="eastAsia" w:ascii="仿宋" w:hAnsi="仿宋" w:eastAsia="仿宋" w:cs="仿宋"/>
          <w:sz w:val="32"/>
          <w:szCs w:val="32"/>
        </w:rPr>
        <w:t xml:space="preserve">北京市建设工程招标投标和造价管理协会                          </w:t>
      </w: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firstLine="560"/>
        <w:jc w:val="center"/>
        <w:textAlignment w:val="auto"/>
        <w:rPr>
          <w:rFonts w:hint="eastAsia" w:ascii="仿宋" w:hAnsi="仿宋" w:eastAsia="仿宋" w:cs="仿宋"/>
          <w:sz w:val="32"/>
          <w:szCs w:val="32"/>
        </w:rPr>
      </w:pPr>
      <w:r>
        <w:rPr>
          <w:rFonts w:hint="eastAsia" w:ascii="仿宋" w:hAnsi="仿宋" w:eastAsia="仿宋" w:cs="仿宋"/>
          <w:sz w:val="32"/>
          <w:szCs w:val="32"/>
        </w:rPr>
        <w:t xml:space="preserve">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二○一九年五月二十二日</w:t>
      </w:r>
      <w:bookmarkEnd w:id="0"/>
    </w:p>
    <w:sectPr>
      <w:headerReference r:id="rId3" w:type="default"/>
      <w:footerReference r:id="rId4" w:type="default"/>
      <w:pgSz w:w="11906" w:h="16838"/>
      <w:pgMar w:top="1134" w:right="1418" w:bottom="1134" w:left="1418" w:header="851" w:footer="850" w:gutter="0"/>
      <w:pgNumType w:start="1"/>
      <w:cols w:space="425" w:num="1"/>
      <w:docGrid w:type="linesAndChars" w:linePitch="38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0000000000000000000"/>
    <w:charset w:val="86"/>
    <w:family w:val="auto"/>
    <w:pitch w:val="default"/>
    <w:sig w:usb0="00000000" w:usb1="00000000" w:usb2="00000016" w:usb3="00000000" w:csb0="0004000F" w:csb1="0000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 w:name="等线 Light">
    <w:altName w:val="Arial Unicode MS"/>
    <w:panose1 w:val="00000000000000000000"/>
    <w:charset w:val="86"/>
    <w:family w:val="auto"/>
    <w:pitch w:val="default"/>
    <w:sig w:usb0="00000000" w:usb1="00000000" w:usb2="00000016" w:usb3="00000000" w:csb0="0004000F" w:csb1="0000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等线 Ligh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方正小标宋简体">
    <w:altName w:val="Arial Unicode MS"/>
    <w:panose1 w:val="02010601030101010101"/>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125610276"/>
      <w:docPartObj>
        <w:docPartGallery w:val="AutoText"/>
      </w:docPartObj>
    </w:sdtPr>
    <w:sdtEndPr>
      <w:rPr>
        <w:sz w:val="20"/>
        <w:szCs w:val="20"/>
      </w:rPr>
    </w:sdtEndPr>
    <w:sdtContent>
      <w:p>
        <w:pPr>
          <w:pStyle w:val="7"/>
          <w:ind w:firstLine="360"/>
          <w:jc w:val="center"/>
          <w:rPr>
            <w:sz w:val="20"/>
            <w:szCs w:val="20"/>
          </w:rPr>
        </w:pPr>
        <w:r>
          <w:rPr>
            <w:sz w:val="20"/>
            <w:szCs w:val="20"/>
            <w:lang w:val="zh-CN"/>
          </w:rPr>
          <w:fldChar w:fldCharType="begin"/>
        </w:r>
        <w:r>
          <w:rPr>
            <w:sz w:val="20"/>
            <w:szCs w:val="20"/>
            <w:lang w:val="zh-CN"/>
          </w:rPr>
          <w:instrText xml:space="preserve"> PAGE   \* MERGEFORMAT </w:instrText>
        </w:r>
        <w:r>
          <w:rPr>
            <w:sz w:val="20"/>
            <w:szCs w:val="20"/>
            <w:lang w:val="zh-CN"/>
          </w:rPr>
          <w:fldChar w:fldCharType="separate"/>
        </w:r>
        <w:r>
          <w:rPr>
            <w:sz w:val="20"/>
            <w:szCs w:val="20"/>
            <w:lang w:val="zh-CN"/>
          </w:rPr>
          <w:t>35</w:t>
        </w:r>
        <w:r>
          <w:rPr>
            <w:sz w:val="20"/>
            <w:szCs w:val="20"/>
            <w:lang w:val="zh-CN"/>
          </w:rPr>
          <w:fldChar w:fldCharType="end"/>
        </w:r>
      </w:p>
    </w:sdtContent>
  </w:sdt>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40"/>
  <w:drawingGridVerticalSpacing w:val="38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3E7A50"/>
    <w:rsid w:val="00025D2E"/>
    <w:rsid w:val="000328B4"/>
    <w:rsid w:val="00041F9F"/>
    <w:rsid w:val="000476E6"/>
    <w:rsid w:val="00047FBD"/>
    <w:rsid w:val="00053B46"/>
    <w:rsid w:val="00054554"/>
    <w:rsid w:val="0005588F"/>
    <w:rsid w:val="00057187"/>
    <w:rsid w:val="000712B0"/>
    <w:rsid w:val="0007137D"/>
    <w:rsid w:val="00071829"/>
    <w:rsid w:val="00077E65"/>
    <w:rsid w:val="00080BA6"/>
    <w:rsid w:val="00087FC7"/>
    <w:rsid w:val="000A7789"/>
    <w:rsid w:val="000A7D69"/>
    <w:rsid w:val="000B10F0"/>
    <w:rsid w:val="000D1CAD"/>
    <w:rsid w:val="000D4F46"/>
    <w:rsid w:val="000E65DA"/>
    <w:rsid w:val="000E6BC4"/>
    <w:rsid w:val="000F0859"/>
    <w:rsid w:val="000F1501"/>
    <w:rsid w:val="000F1A4F"/>
    <w:rsid w:val="000F53F3"/>
    <w:rsid w:val="000F5F27"/>
    <w:rsid w:val="000F68D1"/>
    <w:rsid w:val="00102EF0"/>
    <w:rsid w:val="00111A64"/>
    <w:rsid w:val="00111EFF"/>
    <w:rsid w:val="001122FE"/>
    <w:rsid w:val="00115D50"/>
    <w:rsid w:val="00123AD9"/>
    <w:rsid w:val="001247A1"/>
    <w:rsid w:val="00124C56"/>
    <w:rsid w:val="0013097A"/>
    <w:rsid w:val="00140201"/>
    <w:rsid w:val="00141D23"/>
    <w:rsid w:val="001476FD"/>
    <w:rsid w:val="00154CBD"/>
    <w:rsid w:val="001565C2"/>
    <w:rsid w:val="001566E5"/>
    <w:rsid w:val="0016028A"/>
    <w:rsid w:val="00171320"/>
    <w:rsid w:val="00175660"/>
    <w:rsid w:val="001826EF"/>
    <w:rsid w:val="0019393A"/>
    <w:rsid w:val="00193EF1"/>
    <w:rsid w:val="00194AE6"/>
    <w:rsid w:val="001A0F4F"/>
    <w:rsid w:val="001A48E1"/>
    <w:rsid w:val="001B19FB"/>
    <w:rsid w:val="001C0199"/>
    <w:rsid w:val="001D3DF8"/>
    <w:rsid w:val="001D7857"/>
    <w:rsid w:val="001E0178"/>
    <w:rsid w:val="001E613D"/>
    <w:rsid w:val="001E6F6F"/>
    <w:rsid w:val="002106D3"/>
    <w:rsid w:val="002109FE"/>
    <w:rsid w:val="00210D40"/>
    <w:rsid w:val="00225F98"/>
    <w:rsid w:val="002323B3"/>
    <w:rsid w:val="00232A82"/>
    <w:rsid w:val="00235264"/>
    <w:rsid w:val="00240AD4"/>
    <w:rsid w:val="00242219"/>
    <w:rsid w:val="002422BB"/>
    <w:rsid w:val="002451C1"/>
    <w:rsid w:val="002508A5"/>
    <w:rsid w:val="00257B7E"/>
    <w:rsid w:val="002607D2"/>
    <w:rsid w:val="002650BD"/>
    <w:rsid w:val="00266302"/>
    <w:rsid w:val="00270EA9"/>
    <w:rsid w:val="00273870"/>
    <w:rsid w:val="00282F40"/>
    <w:rsid w:val="0029016C"/>
    <w:rsid w:val="00294E13"/>
    <w:rsid w:val="002A086E"/>
    <w:rsid w:val="002A2A82"/>
    <w:rsid w:val="002A4F34"/>
    <w:rsid w:val="002A77A2"/>
    <w:rsid w:val="002B501E"/>
    <w:rsid w:val="002B69C4"/>
    <w:rsid w:val="002C6F1B"/>
    <w:rsid w:val="002D15CD"/>
    <w:rsid w:val="002D475B"/>
    <w:rsid w:val="002D6FCA"/>
    <w:rsid w:val="002E0610"/>
    <w:rsid w:val="002E6285"/>
    <w:rsid w:val="002F738B"/>
    <w:rsid w:val="0030073F"/>
    <w:rsid w:val="003140A9"/>
    <w:rsid w:val="0033045D"/>
    <w:rsid w:val="003325C2"/>
    <w:rsid w:val="0034053E"/>
    <w:rsid w:val="00341751"/>
    <w:rsid w:val="00351AA4"/>
    <w:rsid w:val="00355922"/>
    <w:rsid w:val="00356D60"/>
    <w:rsid w:val="003665F2"/>
    <w:rsid w:val="0036681D"/>
    <w:rsid w:val="00372160"/>
    <w:rsid w:val="00384499"/>
    <w:rsid w:val="00385121"/>
    <w:rsid w:val="003947D2"/>
    <w:rsid w:val="003A2AD9"/>
    <w:rsid w:val="003A341B"/>
    <w:rsid w:val="003B2576"/>
    <w:rsid w:val="003B34FA"/>
    <w:rsid w:val="003B47D4"/>
    <w:rsid w:val="003C18A1"/>
    <w:rsid w:val="003C20D4"/>
    <w:rsid w:val="003C2595"/>
    <w:rsid w:val="003C7D14"/>
    <w:rsid w:val="003D0BE9"/>
    <w:rsid w:val="003E06FF"/>
    <w:rsid w:val="003E185E"/>
    <w:rsid w:val="003E1B26"/>
    <w:rsid w:val="003E3995"/>
    <w:rsid w:val="003E3E02"/>
    <w:rsid w:val="003E7A50"/>
    <w:rsid w:val="003F1354"/>
    <w:rsid w:val="003F4B64"/>
    <w:rsid w:val="003F7788"/>
    <w:rsid w:val="00401238"/>
    <w:rsid w:val="004015A0"/>
    <w:rsid w:val="00417479"/>
    <w:rsid w:val="00425BA2"/>
    <w:rsid w:val="00425F5B"/>
    <w:rsid w:val="00433AB6"/>
    <w:rsid w:val="00435721"/>
    <w:rsid w:val="00444659"/>
    <w:rsid w:val="00444ACC"/>
    <w:rsid w:val="00445334"/>
    <w:rsid w:val="00445E5D"/>
    <w:rsid w:val="004623A9"/>
    <w:rsid w:val="00471953"/>
    <w:rsid w:val="004769C8"/>
    <w:rsid w:val="00480994"/>
    <w:rsid w:val="00483A42"/>
    <w:rsid w:val="00485BAD"/>
    <w:rsid w:val="00491C61"/>
    <w:rsid w:val="00495A47"/>
    <w:rsid w:val="004A306F"/>
    <w:rsid w:val="004A5726"/>
    <w:rsid w:val="004A5D5E"/>
    <w:rsid w:val="004A66A4"/>
    <w:rsid w:val="004B14AA"/>
    <w:rsid w:val="004B414F"/>
    <w:rsid w:val="004B6FF7"/>
    <w:rsid w:val="004C5869"/>
    <w:rsid w:val="004C5B11"/>
    <w:rsid w:val="004D2CB7"/>
    <w:rsid w:val="004D2EC5"/>
    <w:rsid w:val="004D60CA"/>
    <w:rsid w:val="004E3852"/>
    <w:rsid w:val="004E509E"/>
    <w:rsid w:val="005006BC"/>
    <w:rsid w:val="005006D2"/>
    <w:rsid w:val="00506651"/>
    <w:rsid w:val="0050716D"/>
    <w:rsid w:val="00507D0B"/>
    <w:rsid w:val="0051339C"/>
    <w:rsid w:val="00513F1C"/>
    <w:rsid w:val="0051577E"/>
    <w:rsid w:val="00545678"/>
    <w:rsid w:val="00545E42"/>
    <w:rsid w:val="00545FA8"/>
    <w:rsid w:val="005477B5"/>
    <w:rsid w:val="005534A9"/>
    <w:rsid w:val="0055425B"/>
    <w:rsid w:val="0056280D"/>
    <w:rsid w:val="00571058"/>
    <w:rsid w:val="00573B7F"/>
    <w:rsid w:val="00593BF4"/>
    <w:rsid w:val="005A3771"/>
    <w:rsid w:val="005A76F6"/>
    <w:rsid w:val="005B2239"/>
    <w:rsid w:val="005B2B0B"/>
    <w:rsid w:val="005B35BF"/>
    <w:rsid w:val="005C7468"/>
    <w:rsid w:val="005D1A99"/>
    <w:rsid w:val="005D5065"/>
    <w:rsid w:val="005D5DEB"/>
    <w:rsid w:val="005E5A40"/>
    <w:rsid w:val="005F2942"/>
    <w:rsid w:val="005F3D61"/>
    <w:rsid w:val="005F57C5"/>
    <w:rsid w:val="00606352"/>
    <w:rsid w:val="00621201"/>
    <w:rsid w:val="00621203"/>
    <w:rsid w:val="00624E8F"/>
    <w:rsid w:val="00625888"/>
    <w:rsid w:val="00632848"/>
    <w:rsid w:val="00636708"/>
    <w:rsid w:val="00641C06"/>
    <w:rsid w:val="00644C85"/>
    <w:rsid w:val="006468FB"/>
    <w:rsid w:val="00650263"/>
    <w:rsid w:val="006517D0"/>
    <w:rsid w:val="00657833"/>
    <w:rsid w:val="00657B4B"/>
    <w:rsid w:val="0066119B"/>
    <w:rsid w:val="0066231F"/>
    <w:rsid w:val="00672E63"/>
    <w:rsid w:val="0068352D"/>
    <w:rsid w:val="0069307C"/>
    <w:rsid w:val="0069348E"/>
    <w:rsid w:val="006A3BC9"/>
    <w:rsid w:val="006A438A"/>
    <w:rsid w:val="006A6FF0"/>
    <w:rsid w:val="006A7766"/>
    <w:rsid w:val="006B0056"/>
    <w:rsid w:val="006B2A0B"/>
    <w:rsid w:val="006B559B"/>
    <w:rsid w:val="006F7426"/>
    <w:rsid w:val="00700FA4"/>
    <w:rsid w:val="00717353"/>
    <w:rsid w:val="0072451D"/>
    <w:rsid w:val="00726341"/>
    <w:rsid w:val="007265E3"/>
    <w:rsid w:val="00733050"/>
    <w:rsid w:val="00735FF7"/>
    <w:rsid w:val="007364C2"/>
    <w:rsid w:val="0074141E"/>
    <w:rsid w:val="00743372"/>
    <w:rsid w:val="007456BC"/>
    <w:rsid w:val="00760236"/>
    <w:rsid w:val="00763B7D"/>
    <w:rsid w:val="00770206"/>
    <w:rsid w:val="007939CB"/>
    <w:rsid w:val="007967CD"/>
    <w:rsid w:val="007B1EF0"/>
    <w:rsid w:val="007B277C"/>
    <w:rsid w:val="007B27A4"/>
    <w:rsid w:val="007B34A5"/>
    <w:rsid w:val="007B7375"/>
    <w:rsid w:val="007C169E"/>
    <w:rsid w:val="007C5A36"/>
    <w:rsid w:val="007D07DD"/>
    <w:rsid w:val="007D33D6"/>
    <w:rsid w:val="007D76DD"/>
    <w:rsid w:val="007F33AA"/>
    <w:rsid w:val="008020C7"/>
    <w:rsid w:val="00802E0F"/>
    <w:rsid w:val="00803F52"/>
    <w:rsid w:val="00804045"/>
    <w:rsid w:val="0080550B"/>
    <w:rsid w:val="00814080"/>
    <w:rsid w:val="00825637"/>
    <w:rsid w:val="008266F3"/>
    <w:rsid w:val="00831F3F"/>
    <w:rsid w:val="0083300E"/>
    <w:rsid w:val="008332F7"/>
    <w:rsid w:val="008364C9"/>
    <w:rsid w:val="008501FF"/>
    <w:rsid w:val="00852B80"/>
    <w:rsid w:val="0085590B"/>
    <w:rsid w:val="0085674D"/>
    <w:rsid w:val="008638E5"/>
    <w:rsid w:val="008747BA"/>
    <w:rsid w:val="00881985"/>
    <w:rsid w:val="008825C1"/>
    <w:rsid w:val="00882D65"/>
    <w:rsid w:val="00885E44"/>
    <w:rsid w:val="00887259"/>
    <w:rsid w:val="0088778D"/>
    <w:rsid w:val="00887B0F"/>
    <w:rsid w:val="008A5C8C"/>
    <w:rsid w:val="008B6E71"/>
    <w:rsid w:val="008C6A30"/>
    <w:rsid w:val="008C7F89"/>
    <w:rsid w:val="008D049A"/>
    <w:rsid w:val="008D1477"/>
    <w:rsid w:val="008D4020"/>
    <w:rsid w:val="008D79F8"/>
    <w:rsid w:val="008E398A"/>
    <w:rsid w:val="008E63C2"/>
    <w:rsid w:val="008F5347"/>
    <w:rsid w:val="00900CCF"/>
    <w:rsid w:val="00904D00"/>
    <w:rsid w:val="00911CE5"/>
    <w:rsid w:val="00917138"/>
    <w:rsid w:val="0092608F"/>
    <w:rsid w:val="00926D35"/>
    <w:rsid w:val="00930CC4"/>
    <w:rsid w:val="00933C03"/>
    <w:rsid w:val="0094074C"/>
    <w:rsid w:val="009427CB"/>
    <w:rsid w:val="00950583"/>
    <w:rsid w:val="00953A75"/>
    <w:rsid w:val="009550E6"/>
    <w:rsid w:val="009616DA"/>
    <w:rsid w:val="009626D9"/>
    <w:rsid w:val="009634FC"/>
    <w:rsid w:val="00966F9E"/>
    <w:rsid w:val="009700F7"/>
    <w:rsid w:val="00976A5B"/>
    <w:rsid w:val="00983F0D"/>
    <w:rsid w:val="009878DB"/>
    <w:rsid w:val="00993DAA"/>
    <w:rsid w:val="009970C4"/>
    <w:rsid w:val="00997747"/>
    <w:rsid w:val="009A06BE"/>
    <w:rsid w:val="009A38D5"/>
    <w:rsid w:val="009A528D"/>
    <w:rsid w:val="009A7816"/>
    <w:rsid w:val="009B2EA9"/>
    <w:rsid w:val="009B613C"/>
    <w:rsid w:val="009C3C47"/>
    <w:rsid w:val="009D1564"/>
    <w:rsid w:val="009D168C"/>
    <w:rsid w:val="009D56B1"/>
    <w:rsid w:val="009D65C7"/>
    <w:rsid w:val="009F580F"/>
    <w:rsid w:val="00A00DF1"/>
    <w:rsid w:val="00A06F09"/>
    <w:rsid w:val="00A1011C"/>
    <w:rsid w:val="00A12F72"/>
    <w:rsid w:val="00A14331"/>
    <w:rsid w:val="00A26937"/>
    <w:rsid w:val="00A313BB"/>
    <w:rsid w:val="00A46FFA"/>
    <w:rsid w:val="00A47D0C"/>
    <w:rsid w:val="00A711E5"/>
    <w:rsid w:val="00A746C6"/>
    <w:rsid w:val="00A75555"/>
    <w:rsid w:val="00A8240C"/>
    <w:rsid w:val="00A8729D"/>
    <w:rsid w:val="00A90D5A"/>
    <w:rsid w:val="00A9660D"/>
    <w:rsid w:val="00AB1D6D"/>
    <w:rsid w:val="00AB5BCF"/>
    <w:rsid w:val="00AB7B2B"/>
    <w:rsid w:val="00AC7C16"/>
    <w:rsid w:val="00AE20EA"/>
    <w:rsid w:val="00AE441D"/>
    <w:rsid w:val="00AF33D0"/>
    <w:rsid w:val="00B02A19"/>
    <w:rsid w:val="00B03F2F"/>
    <w:rsid w:val="00B07C8E"/>
    <w:rsid w:val="00B306A3"/>
    <w:rsid w:val="00B34E47"/>
    <w:rsid w:val="00B36639"/>
    <w:rsid w:val="00B46005"/>
    <w:rsid w:val="00B5704C"/>
    <w:rsid w:val="00B57E6D"/>
    <w:rsid w:val="00B66B28"/>
    <w:rsid w:val="00B7028E"/>
    <w:rsid w:val="00B7073E"/>
    <w:rsid w:val="00B7248B"/>
    <w:rsid w:val="00B74B91"/>
    <w:rsid w:val="00B76BA7"/>
    <w:rsid w:val="00B80B17"/>
    <w:rsid w:val="00B80B27"/>
    <w:rsid w:val="00B901BF"/>
    <w:rsid w:val="00B91EFE"/>
    <w:rsid w:val="00B95460"/>
    <w:rsid w:val="00B95D41"/>
    <w:rsid w:val="00B95DBA"/>
    <w:rsid w:val="00B96834"/>
    <w:rsid w:val="00BA7CAF"/>
    <w:rsid w:val="00BC3A60"/>
    <w:rsid w:val="00BD342B"/>
    <w:rsid w:val="00BD73BD"/>
    <w:rsid w:val="00BF042E"/>
    <w:rsid w:val="00BF4A5B"/>
    <w:rsid w:val="00BF5BD1"/>
    <w:rsid w:val="00BF7853"/>
    <w:rsid w:val="00C04E3F"/>
    <w:rsid w:val="00C064EF"/>
    <w:rsid w:val="00C13034"/>
    <w:rsid w:val="00C146C5"/>
    <w:rsid w:val="00C17DF3"/>
    <w:rsid w:val="00C225A8"/>
    <w:rsid w:val="00C32C37"/>
    <w:rsid w:val="00C35719"/>
    <w:rsid w:val="00C419F3"/>
    <w:rsid w:val="00C41ECC"/>
    <w:rsid w:val="00C44497"/>
    <w:rsid w:val="00C44AA5"/>
    <w:rsid w:val="00C45D56"/>
    <w:rsid w:val="00C4644F"/>
    <w:rsid w:val="00C46B0A"/>
    <w:rsid w:val="00C564F0"/>
    <w:rsid w:val="00C57344"/>
    <w:rsid w:val="00C60202"/>
    <w:rsid w:val="00C6465A"/>
    <w:rsid w:val="00C723B3"/>
    <w:rsid w:val="00C74C49"/>
    <w:rsid w:val="00C964FC"/>
    <w:rsid w:val="00CA434B"/>
    <w:rsid w:val="00CB1129"/>
    <w:rsid w:val="00CB52C7"/>
    <w:rsid w:val="00CB54D5"/>
    <w:rsid w:val="00CC0E63"/>
    <w:rsid w:val="00CC3B20"/>
    <w:rsid w:val="00CD2773"/>
    <w:rsid w:val="00CD437D"/>
    <w:rsid w:val="00CD58FD"/>
    <w:rsid w:val="00CD7377"/>
    <w:rsid w:val="00CE552E"/>
    <w:rsid w:val="00CF0DBD"/>
    <w:rsid w:val="00CF159A"/>
    <w:rsid w:val="00CF1F4F"/>
    <w:rsid w:val="00CF3840"/>
    <w:rsid w:val="00D0687C"/>
    <w:rsid w:val="00D06A87"/>
    <w:rsid w:val="00D116CA"/>
    <w:rsid w:val="00D2191B"/>
    <w:rsid w:val="00D31405"/>
    <w:rsid w:val="00D46D1E"/>
    <w:rsid w:val="00D60379"/>
    <w:rsid w:val="00D72E6B"/>
    <w:rsid w:val="00D73799"/>
    <w:rsid w:val="00D77A16"/>
    <w:rsid w:val="00D82578"/>
    <w:rsid w:val="00D84853"/>
    <w:rsid w:val="00D9570B"/>
    <w:rsid w:val="00DA23BD"/>
    <w:rsid w:val="00DA38B1"/>
    <w:rsid w:val="00DA3923"/>
    <w:rsid w:val="00DA78B2"/>
    <w:rsid w:val="00DB1258"/>
    <w:rsid w:val="00DB4156"/>
    <w:rsid w:val="00DB7A0F"/>
    <w:rsid w:val="00DC34EF"/>
    <w:rsid w:val="00DC40F1"/>
    <w:rsid w:val="00DD23E7"/>
    <w:rsid w:val="00DD5FA9"/>
    <w:rsid w:val="00DD7235"/>
    <w:rsid w:val="00DE3CD1"/>
    <w:rsid w:val="00DF1DDA"/>
    <w:rsid w:val="00DF3D92"/>
    <w:rsid w:val="00E01989"/>
    <w:rsid w:val="00E01D8C"/>
    <w:rsid w:val="00E174D3"/>
    <w:rsid w:val="00E265CD"/>
    <w:rsid w:val="00E27D22"/>
    <w:rsid w:val="00E52032"/>
    <w:rsid w:val="00E60A4B"/>
    <w:rsid w:val="00E6127A"/>
    <w:rsid w:val="00E66ABB"/>
    <w:rsid w:val="00E765F2"/>
    <w:rsid w:val="00E7762C"/>
    <w:rsid w:val="00E82E96"/>
    <w:rsid w:val="00EA1FC1"/>
    <w:rsid w:val="00EC065A"/>
    <w:rsid w:val="00EC2E8D"/>
    <w:rsid w:val="00EC3676"/>
    <w:rsid w:val="00EC7299"/>
    <w:rsid w:val="00ED2B86"/>
    <w:rsid w:val="00ED5562"/>
    <w:rsid w:val="00EE7E96"/>
    <w:rsid w:val="00F070DE"/>
    <w:rsid w:val="00F07B39"/>
    <w:rsid w:val="00F12E3E"/>
    <w:rsid w:val="00F16284"/>
    <w:rsid w:val="00F22BE0"/>
    <w:rsid w:val="00F26B31"/>
    <w:rsid w:val="00F32A35"/>
    <w:rsid w:val="00F44A33"/>
    <w:rsid w:val="00F51308"/>
    <w:rsid w:val="00F53266"/>
    <w:rsid w:val="00F719CB"/>
    <w:rsid w:val="00F775B6"/>
    <w:rsid w:val="00F77670"/>
    <w:rsid w:val="00F777D2"/>
    <w:rsid w:val="00F87E99"/>
    <w:rsid w:val="00FA125A"/>
    <w:rsid w:val="00FA565F"/>
    <w:rsid w:val="00FA7A2B"/>
    <w:rsid w:val="00FB0A19"/>
    <w:rsid w:val="00FC006B"/>
    <w:rsid w:val="00FC245D"/>
    <w:rsid w:val="00FC32E9"/>
    <w:rsid w:val="00FD0D63"/>
    <w:rsid w:val="00FD171C"/>
    <w:rsid w:val="00FD5D6B"/>
    <w:rsid w:val="00FE02AD"/>
    <w:rsid w:val="00FF0285"/>
    <w:rsid w:val="00FF4B0B"/>
    <w:rsid w:val="00FF617E"/>
    <w:rsid w:val="479B662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nhideWhenUsed="0" w:uiPriority="0" w:semiHidden="0"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520" w:lineRule="exact"/>
      <w:ind w:firstLine="200" w:firstLineChars="200"/>
      <w:jc w:val="both"/>
    </w:pPr>
    <w:rPr>
      <w:rFonts w:ascii="宋体" w:hAnsi="宋体" w:eastAsia="宋体" w:cs="宋体"/>
      <w:color w:val="000000" w:themeColor="text1"/>
      <w:kern w:val="2"/>
      <w:sz w:val="28"/>
      <w:szCs w:val="28"/>
      <w:lang w:val="en-US" w:eastAsia="zh-CN" w:bidi="ar-SA"/>
    </w:rPr>
  </w:style>
  <w:style w:type="paragraph" w:styleId="2">
    <w:name w:val="heading 1"/>
    <w:basedOn w:val="1"/>
    <w:next w:val="1"/>
    <w:link w:val="31"/>
    <w:qFormat/>
    <w:uiPriority w:val="9"/>
    <w:pPr>
      <w:keepNext/>
      <w:keepLines/>
      <w:spacing w:before="340" w:after="330" w:line="578" w:lineRule="auto"/>
      <w:ind w:firstLine="0" w:firstLineChars="0"/>
      <w:outlineLvl w:val="0"/>
    </w:pPr>
    <w:rPr>
      <w:rFonts w:ascii="Times New Roman" w:hAnsi="Times New Roman" w:cs="Times New Roman"/>
      <w:b/>
      <w:bCs/>
      <w:color w:val="auto"/>
      <w:kern w:val="44"/>
      <w:sz w:val="44"/>
      <w:szCs w:val="44"/>
    </w:rPr>
  </w:style>
  <w:style w:type="paragraph" w:styleId="3">
    <w:name w:val="heading 2"/>
    <w:basedOn w:val="1"/>
    <w:next w:val="1"/>
    <w:link w:val="36"/>
    <w:semiHidden/>
    <w:unhideWhenUsed/>
    <w:qFormat/>
    <w:uiPriority w:val="9"/>
    <w:pPr>
      <w:keepNext/>
      <w:keepLines/>
      <w:spacing w:before="260" w:after="260" w:line="416" w:lineRule="atLeast"/>
      <w:outlineLvl w:val="1"/>
    </w:pPr>
    <w:rPr>
      <w:rFonts w:asciiTheme="majorHAnsi" w:hAnsiTheme="majorHAnsi" w:eastAsiaTheme="majorEastAsia" w:cstheme="majorBidi"/>
      <w:b/>
      <w:bCs/>
      <w:sz w:val="32"/>
      <w:szCs w:val="32"/>
    </w:rPr>
  </w:style>
  <w:style w:type="character" w:default="1" w:styleId="15">
    <w:name w:val="Default Paragraph Font"/>
    <w:semiHidden/>
    <w:unhideWhenUsed/>
    <w:uiPriority w:val="1"/>
  </w:style>
  <w:style w:type="table" w:default="1" w:styleId="13">
    <w:name w:val="Normal Table"/>
    <w:semiHidden/>
    <w:unhideWhenUsed/>
    <w:qFormat/>
    <w:uiPriority w:val="99"/>
    <w:tblPr>
      <w:tblLayout w:type="fixed"/>
      <w:tblCellMar>
        <w:top w:w="0" w:type="dxa"/>
        <w:left w:w="108" w:type="dxa"/>
        <w:bottom w:w="0" w:type="dxa"/>
        <w:right w:w="108" w:type="dxa"/>
      </w:tblCellMar>
    </w:tblPr>
  </w:style>
  <w:style w:type="paragraph" w:styleId="4">
    <w:name w:val="toc 3"/>
    <w:basedOn w:val="1"/>
    <w:next w:val="1"/>
    <w:unhideWhenUsed/>
    <w:uiPriority w:val="39"/>
    <w:pPr>
      <w:widowControl/>
      <w:spacing w:after="100" w:line="259" w:lineRule="auto"/>
      <w:ind w:left="440" w:firstLine="0" w:firstLineChars="0"/>
      <w:jc w:val="left"/>
    </w:pPr>
    <w:rPr>
      <w:rFonts w:cs="Times New Roman"/>
      <w:color w:val="auto"/>
      <w:kern w:val="0"/>
      <w:sz w:val="22"/>
    </w:rPr>
  </w:style>
  <w:style w:type="paragraph" w:styleId="5">
    <w:name w:val="Date"/>
    <w:basedOn w:val="1"/>
    <w:next w:val="1"/>
    <w:link w:val="38"/>
    <w:semiHidden/>
    <w:unhideWhenUsed/>
    <w:qFormat/>
    <w:uiPriority w:val="99"/>
    <w:pPr>
      <w:ind w:left="100" w:leftChars="2500"/>
    </w:pPr>
  </w:style>
  <w:style w:type="paragraph" w:styleId="6">
    <w:name w:val="Balloon Text"/>
    <w:basedOn w:val="1"/>
    <w:link w:val="33"/>
    <w:semiHidden/>
    <w:unhideWhenUsed/>
    <w:uiPriority w:val="99"/>
    <w:rPr>
      <w:sz w:val="18"/>
      <w:szCs w:val="18"/>
    </w:rPr>
  </w:style>
  <w:style w:type="paragraph" w:styleId="7">
    <w:name w:val="footer"/>
    <w:basedOn w:val="1"/>
    <w:link w:val="17"/>
    <w:unhideWhenUsed/>
    <w:qFormat/>
    <w:uiPriority w:val="99"/>
    <w:pPr>
      <w:tabs>
        <w:tab w:val="center" w:pos="4153"/>
        <w:tab w:val="right" w:pos="8306"/>
      </w:tabs>
      <w:snapToGrid w:val="0"/>
      <w:jc w:val="left"/>
    </w:pPr>
    <w:rPr>
      <w:sz w:val="18"/>
      <w:szCs w:val="18"/>
    </w:rPr>
  </w:style>
  <w:style w:type="paragraph" w:styleId="8">
    <w:name w:val="header"/>
    <w:basedOn w:val="1"/>
    <w:link w:val="34"/>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toc 1"/>
    <w:basedOn w:val="1"/>
    <w:next w:val="1"/>
    <w:unhideWhenUsed/>
    <w:qFormat/>
    <w:uiPriority w:val="39"/>
    <w:pPr>
      <w:widowControl/>
      <w:tabs>
        <w:tab w:val="right" w:leader="dot" w:pos="9060"/>
      </w:tabs>
      <w:spacing w:after="100" w:line="259" w:lineRule="auto"/>
      <w:ind w:firstLine="0" w:firstLineChars="0"/>
      <w:jc w:val="left"/>
    </w:pPr>
    <w:rPr>
      <w:rFonts w:cs="Times New Roman" w:eastAsiaTheme="minorHAnsi"/>
      <w:kern w:val="0"/>
      <w:szCs w:val="24"/>
    </w:rPr>
  </w:style>
  <w:style w:type="paragraph" w:styleId="10">
    <w:name w:val="Subtitle"/>
    <w:basedOn w:val="1"/>
    <w:next w:val="1"/>
    <w:link w:val="20"/>
    <w:qFormat/>
    <w:uiPriority w:val="0"/>
    <w:pPr>
      <w:spacing w:before="100" w:beforeAutospacing="1" w:after="100" w:afterAutospacing="1"/>
      <w:ind w:firstLine="0" w:firstLineChars="0"/>
      <w:jc w:val="center"/>
      <w:outlineLvl w:val="1"/>
    </w:pPr>
    <w:rPr>
      <w:rFonts w:ascii="Cambria" w:hAnsi="Cambria" w:cs="Times New Roman"/>
      <w:b/>
      <w:bCs/>
      <w:kern w:val="28"/>
      <w:sz w:val="36"/>
      <w:szCs w:val="32"/>
    </w:rPr>
  </w:style>
  <w:style w:type="paragraph" w:styleId="11">
    <w:name w:val="Body Text Indent 3"/>
    <w:basedOn w:val="1"/>
    <w:link w:val="22"/>
    <w:uiPriority w:val="0"/>
    <w:pPr>
      <w:spacing w:after="120"/>
      <w:ind w:left="420" w:leftChars="200"/>
    </w:pPr>
    <w:rPr>
      <w:rFonts w:ascii="Times New Roman" w:hAnsi="Times New Roman" w:cs="Times New Roman"/>
      <w:sz w:val="16"/>
      <w:szCs w:val="16"/>
    </w:rPr>
  </w:style>
  <w:style w:type="paragraph" w:styleId="12">
    <w:name w:val="toc 2"/>
    <w:basedOn w:val="1"/>
    <w:next w:val="1"/>
    <w:unhideWhenUsed/>
    <w:qFormat/>
    <w:uiPriority w:val="39"/>
    <w:pPr>
      <w:widowControl/>
      <w:spacing w:after="100" w:line="259" w:lineRule="auto"/>
      <w:ind w:left="220" w:firstLine="0" w:firstLineChars="0"/>
      <w:jc w:val="left"/>
    </w:pPr>
    <w:rPr>
      <w:rFonts w:cs="Times New Roman"/>
      <w:color w:val="auto"/>
      <w:kern w:val="0"/>
      <w:sz w:val="22"/>
    </w:rPr>
  </w:style>
  <w:style w:type="table" w:styleId="14">
    <w:name w:val="Table Grid"/>
    <w:basedOn w:val="13"/>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16">
    <w:name w:val="Hyperlink"/>
    <w:basedOn w:val="15"/>
    <w:unhideWhenUsed/>
    <w:qFormat/>
    <w:uiPriority w:val="99"/>
    <w:rPr>
      <w:color w:val="0563C1" w:themeColor="hyperlink"/>
      <w:u w:val="single"/>
    </w:rPr>
  </w:style>
  <w:style w:type="character" w:customStyle="1" w:styleId="17">
    <w:name w:val="页脚 Char"/>
    <w:basedOn w:val="15"/>
    <w:link w:val="7"/>
    <w:qFormat/>
    <w:uiPriority w:val="99"/>
    <w:rPr>
      <w:sz w:val="18"/>
      <w:szCs w:val="18"/>
    </w:rPr>
  </w:style>
  <w:style w:type="paragraph" w:styleId="18">
    <w:name w:val="List Paragraph"/>
    <w:basedOn w:val="1"/>
    <w:qFormat/>
    <w:uiPriority w:val="34"/>
    <w:pPr>
      <w:ind w:firstLine="420"/>
    </w:pPr>
    <w:rPr>
      <w:rFonts w:ascii="Times New Roman" w:hAnsi="Times New Roman" w:cs="Times New Roman"/>
      <w:szCs w:val="24"/>
    </w:rPr>
  </w:style>
  <w:style w:type="paragraph" w:customStyle="1" w:styleId="19">
    <w:name w:val="_Style 8"/>
    <w:basedOn w:val="1"/>
    <w:next w:val="18"/>
    <w:qFormat/>
    <w:uiPriority w:val="0"/>
    <w:pPr>
      <w:ind w:firstLine="420"/>
    </w:pPr>
    <w:rPr>
      <w:rFonts w:ascii="Times New Roman" w:hAnsi="Times New Roman" w:cs="Times New Roman"/>
      <w:szCs w:val="24"/>
    </w:rPr>
  </w:style>
  <w:style w:type="character" w:customStyle="1" w:styleId="20">
    <w:name w:val="副标题 Char"/>
    <w:basedOn w:val="15"/>
    <w:link w:val="10"/>
    <w:qFormat/>
    <w:uiPriority w:val="0"/>
    <w:rPr>
      <w:rFonts w:ascii="Cambria" w:hAnsi="Cambria" w:eastAsia="宋体" w:cs="Times New Roman"/>
      <w:b/>
      <w:bCs/>
      <w:color w:val="000000" w:themeColor="text1"/>
      <w:kern w:val="28"/>
      <w:sz w:val="36"/>
      <w:szCs w:val="32"/>
    </w:rPr>
  </w:style>
  <w:style w:type="paragraph" w:customStyle="1" w:styleId="21">
    <w:name w:val="自定样式1"/>
    <w:basedOn w:val="1"/>
    <w:qFormat/>
    <w:uiPriority w:val="0"/>
    <w:pPr>
      <w:suppressAutoHyphens/>
      <w:jc w:val="center"/>
    </w:pPr>
    <w:rPr>
      <w:rFonts w:hint="eastAsia" w:cs="Times New Roman"/>
      <w:color w:val="000000"/>
      <w:kern w:val="1"/>
      <w:sz w:val="18"/>
      <w:szCs w:val="24"/>
    </w:rPr>
  </w:style>
  <w:style w:type="character" w:customStyle="1" w:styleId="22">
    <w:name w:val="正文文本缩进 3 Char"/>
    <w:basedOn w:val="15"/>
    <w:link w:val="11"/>
    <w:qFormat/>
    <w:uiPriority w:val="0"/>
    <w:rPr>
      <w:rFonts w:ascii="Times New Roman" w:hAnsi="Times New Roman" w:eastAsia="宋体" w:cs="Times New Roman"/>
      <w:sz w:val="16"/>
      <w:szCs w:val="16"/>
    </w:rPr>
  </w:style>
  <w:style w:type="paragraph" w:customStyle="1" w:styleId="23">
    <w:name w:val="表格标题"/>
    <w:basedOn w:val="1"/>
    <w:qFormat/>
    <w:uiPriority w:val="0"/>
    <w:pPr>
      <w:suppressLineNumbers/>
      <w:suppressAutoHyphens/>
    </w:pPr>
    <w:rPr>
      <w:rFonts w:ascii="Times New Roman" w:hAnsi="Times New Roman" w:cs="Times New Roman"/>
      <w:kern w:val="1"/>
      <w:szCs w:val="24"/>
    </w:rPr>
  </w:style>
  <w:style w:type="paragraph" w:customStyle="1" w:styleId="24">
    <w:name w:val="WW-表格内容"/>
    <w:basedOn w:val="1"/>
    <w:uiPriority w:val="0"/>
    <w:pPr>
      <w:suppressLineNumbers/>
      <w:suppressAutoHyphens/>
    </w:pPr>
    <w:rPr>
      <w:rFonts w:ascii="Times New Roman" w:hAnsi="Times New Roman" w:cs="Times New Roman"/>
      <w:kern w:val="1"/>
      <w:szCs w:val="24"/>
    </w:rPr>
  </w:style>
  <w:style w:type="paragraph" w:customStyle="1" w:styleId="25">
    <w:name w:val="WW-表格标题"/>
    <w:basedOn w:val="24"/>
    <w:qFormat/>
    <w:uiPriority w:val="0"/>
  </w:style>
  <w:style w:type="table" w:customStyle="1" w:styleId="26">
    <w:name w:val="网格型1"/>
    <w:basedOn w:val="13"/>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27">
    <w:name w:val="网格型2"/>
    <w:basedOn w:val="13"/>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28">
    <w:name w:val="大标题"/>
    <w:basedOn w:val="1"/>
    <w:qFormat/>
    <w:uiPriority w:val="0"/>
    <w:pPr>
      <w:spacing w:after="100" w:afterAutospacing="1"/>
      <w:ind w:firstLine="0" w:firstLineChars="0"/>
      <w:jc w:val="center"/>
      <w:outlineLvl w:val="0"/>
    </w:pPr>
    <w:rPr>
      <w:b/>
      <w:sz w:val="44"/>
      <w:szCs w:val="44"/>
    </w:rPr>
  </w:style>
  <w:style w:type="paragraph" w:customStyle="1" w:styleId="29">
    <w:name w:val="一、二、三"/>
    <w:basedOn w:val="1"/>
    <w:qFormat/>
    <w:uiPriority w:val="0"/>
    <w:rPr>
      <w:b/>
    </w:rPr>
  </w:style>
  <w:style w:type="paragraph" w:customStyle="1" w:styleId="30">
    <w:name w:val="第几章"/>
    <w:basedOn w:val="1"/>
    <w:qFormat/>
    <w:uiPriority w:val="0"/>
    <w:pPr>
      <w:spacing w:before="100" w:beforeAutospacing="1" w:after="100" w:afterAutospacing="1"/>
      <w:ind w:firstLine="0" w:firstLineChars="0"/>
      <w:jc w:val="center"/>
    </w:pPr>
    <w:rPr>
      <w:b/>
    </w:rPr>
  </w:style>
  <w:style w:type="character" w:customStyle="1" w:styleId="31">
    <w:name w:val="标题 1 Char"/>
    <w:basedOn w:val="15"/>
    <w:link w:val="2"/>
    <w:qFormat/>
    <w:uiPriority w:val="9"/>
    <w:rPr>
      <w:rFonts w:ascii="Times New Roman" w:hAnsi="Times New Roman" w:eastAsia="宋体" w:cs="Times New Roman"/>
      <w:b/>
      <w:bCs/>
      <w:kern w:val="44"/>
      <w:sz w:val="44"/>
      <w:szCs w:val="44"/>
    </w:rPr>
  </w:style>
  <w:style w:type="paragraph" w:customStyle="1" w:styleId="32">
    <w:name w:val="TOC Heading"/>
    <w:basedOn w:val="2"/>
    <w:next w:val="1"/>
    <w:unhideWhenUsed/>
    <w:qFormat/>
    <w:uiPriority w:val="39"/>
    <w:pPr>
      <w:widowControl/>
      <w:spacing w:before="480" w:after="0" w:line="276" w:lineRule="auto"/>
      <w:jc w:val="left"/>
      <w:outlineLvl w:val="9"/>
    </w:pPr>
    <w:rPr>
      <w:rFonts w:asciiTheme="majorHAnsi" w:hAnsiTheme="majorHAnsi" w:eastAsiaTheme="majorEastAsia" w:cstheme="majorBidi"/>
      <w:color w:val="2F5496" w:themeColor="accent1" w:themeShade="BF"/>
      <w:kern w:val="0"/>
      <w:sz w:val="28"/>
      <w:szCs w:val="28"/>
    </w:rPr>
  </w:style>
  <w:style w:type="character" w:customStyle="1" w:styleId="33">
    <w:name w:val="批注框文本 Char"/>
    <w:basedOn w:val="15"/>
    <w:link w:val="6"/>
    <w:semiHidden/>
    <w:qFormat/>
    <w:uiPriority w:val="99"/>
    <w:rPr>
      <w:color w:val="000000" w:themeColor="text1"/>
      <w:sz w:val="18"/>
      <w:szCs w:val="18"/>
    </w:rPr>
  </w:style>
  <w:style w:type="character" w:customStyle="1" w:styleId="34">
    <w:name w:val="页眉 Char"/>
    <w:basedOn w:val="15"/>
    <w:link w:val="8"/>
    <w:uiPriority w:val="99"/>
    <w:rPr>
      <w:color w:val="000000" w:themeColor="text1"/>
      <w:sz w:val="18"/>
      <w:szCs w:val="18"/>
    </w:rPr>
  </w:style>
  <w:style w:type="paragraph" w:customStyle="1" w:styleId="35">
    <w:name w:val="主题词"/>
    <w:basedOn w:val="1"/>
    <w:next w:val="1"/>
    <w:uiPriority w:val="0"/>
    <w:pPr>
      <w:adjustRightInd w:val="0"/>
      <w:snapToGrid w:val="0"/>
      <w:spacing w:before="26" w:after="26" w:line="312" w:lineRule="auto"/>
      <w:ind w:firstLine="0" w:firstLineChars="0"/>
      <w:jc w:val="left"/>
      <w:textAlignment w:val="baseline"/>
    </w:pPr>
    <w:rPr>
      <w:rFonts w:ascii="Times New Roman" w:hAnsi="Times New Roman" w:eastAsia="黑体" w:cs="Times New Roman"/>
      <w:color w:val="000000"/>
      <w:spacing w:val="-8"/>
      <w:kern w:val="0"/>
      <w:sz w:val="32"/>
      <w:szCs w:val="32"/>
    </w:rPr>
  </w:style>
  <w:style w:type="character" w:customStyle="1" w:styleId="36">
    <w:name w:val="标题 2 Char"/>
    <w:basedOn w:val="15"/>
    <w:link w:val="3"/>
    <w:semiHidden/>
    <w:qFormat/>
    <w:uiPriority w:val="9"/>
    <w:rPr>
      <w:rFonts w:asciiTheme="majorHAnsi" w:hAnsiTheme="majorHAnsi" w:eastAsiaTheme="majorEastAsia" w:cstheme="majorBidi"/>
      <w:b/>
      <w:bCs/>
      <w:color w:val="000000" w:themeColor="text1"/>
      <w:sz w:val="32"/>
      <w:szCs w:val="32"/>
    </w:rPr>
  </w:style>
  <w:style w:type="paragraph" w:customStyle="1" w:styleId="37">
    <w:name w:val="正文（无缩进）"/>
    <w:basedOn w:val="1"/>
    <w:qFormat/>
    <w:uiPriority w:val="0"/>
    <w:pPr>
      <w:spacing w:line="460" w:lineRule="atLeast"/>
      <w:ind w:firstLine="480"/>
    </w:pPr>
    <w:rPr>
      <w:rFonts w:ascii="Calibri" w:hAnsi="Calibri" w:cs="Times New Roman" w:eastAsiaTheme="minorEastAsia"/>
      <w:bCs/>
      <w:color w:val="auto"/>
      <w:kern w:val="0"/>
      <w:sz w:val="24"/>
      <w:szCs w:val="21"/>
    </w:rPr>
  </w:style>
  <w:style w:type="character" w:customStyle="1" w:styleId="38">
    <w:name w:val="日期 Char"/>
    <w:basedOn w:val="15"/>
    <w:link w:val="5"/>
    <w:semiHidden/>
    <w:qFormat/>
    <w:uiPriority w:val="99"/>
    <w:rPr>
      <w:rFonts w:ascii="宋体" w:hAnsi="宋体" w:eastAsia="宋体" w:cs="宋体"/>
      <w:color w:val="000000" w:themeColor="text1"/>
      <w:sz w:val="28"/>
      <w:szCs w:val="2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4248145-8A20-4174-B657-EEA27C898E6E}">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38</Pages>
  <Words>2664</Words>
  <Characters>15191</Characters>
  <Lines>126</Lines>
  <Paragraphs>35</Paragraphs>
  <TotalTime>121</TotalTime>
  <ScaleCrop>false</ScaleCrop>
  <LinksUpToDate>false</LinksUpToDate>
  <CharactersWithSpaces>17820</CharactersWithSpaces>
  <Application>WPS Office_11.1.0.8696_F1E327BC-269C-435d-A152-05C5408002CA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2019-05-15T08:13:00Z</dcterms:created>
  <dc:creator>Administrator</dc:creator>
  <cp:lastModifiedBy>墨小竹</cp:lastModifiedBy>
  <cp:lastPrinted>2019-05-15T06:45:00Z</cp:lastPrinted>
  <dcterms:modified xsi:type="dcterms:W3CDTF">2019-05-23T07:24:44Z</dcterms:modified>
  <cp:revision>27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