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17" w:tblpY="654"/>
        <w:tblOverlap w:val="never"/>
        <w:tblW w:w="96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7"/>
        <w:gridCol w:w="672"/>
        <w:gridCol w:w="5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6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 w:val="0"/>
                <w:color w:val="0070C0"/>
                <w:sz w:val="48"/>
                <w:szCs w:val="48"/>
                <w:lang w:val="en-US" w:eastAsia="zh-CN" w:bidi="ar"/>
              </w:rPr>
              <w:t>新形势下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 w:val="0"/>
                <w:color w:val="0070C0"/>
                <w:sz w:val="48"/>
                <w:szCs w:val="48"/>
                <w:lang w:val="en-US" w:eastAsia="zh-CN" w:bidi="ar"/>
              </w:rPr>
              <w:t>EPC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 w:val="0"/>
                <w:color w:val="0070C0"/>
                <w:sz w:val="48"/>
                <w:szCs w:val="48"/>
                <w:lang w:val="en-US" w:eastAsia="zh-CN" w:bidi="ar"/>
              </w:rPr>
              <w:t>总承包工程项目管理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 Light" w:hAnsi="微软雅黑 Light" w:eastAsia="微软雅黑 Light" w:cs="微软雅黑 Ligh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章 节</w:t>
            </w: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序列</w:t>
            </w:r>
          </w:p>
        </w:tc>
        <w:tc>
          <w:tcPr>
            <w:tcW w:w="5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内容概述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一、新形势下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总承包工程项目管理的游戏规则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国际国内项目管理的差异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工程建设项目管理模式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工程总承包的主要内容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总承包工程项目管理的难点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合同条件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与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PPP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项目启动策划管理实务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启动策划主要工作及需要关注的主要问题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项目策划思路方法（基本点及流程方法）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项目范围管理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9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项目设计管理实务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国内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国际设计差异性分析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以设计为主导的前期工作程序案例分享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对设计院的影响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设计过程采办支持工作程序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设计与施工、试运行的有效衔接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国内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国际设计管理的重点和难点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四、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项目采购管理实务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采购工作范围案例分享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采购工作程序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组织及岗位设置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采购工作包划分案例分享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国际项目采购需要关注的问题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五、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项目施工管理实务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施工管理工作程序案例分享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某国际工程现场组织案例分享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施工管理工作流程案例分享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施工过程监控关键点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工程总承包的分包商管理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六、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工程总承包管理在装配式建筑管理中的应用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管理模式在装配式中的优势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管理模式在装配式中项目中的应用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七、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工程总承包失败案例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项目简介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项目管理情况介绍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事故通报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施工管理存在问题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事故中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项目管理中存在的问题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关于本次事故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EPC</w:t>
            </w:r>
            <w:r>
              <w:rPr>
                <w:rStyle w:val="8"/>
                <w:lang w:val="en-US" w:eastAsia="zh-CN" w:bidi="ar"/>
              </w:rPr>
              <w:t>项目管理的思考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八、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项目收尾管理实务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项目收尾管理主要工作程序案例分享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某国际工程收尾面临的问题案例分享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九、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的风险管理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合理选择工程组织实施方式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工程总承包单位的资质资格、项目经理条件能力要求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完善企业组织机构、岗位、人员配置和项目管理机构设置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加强分包、违法分包、转包的风险管理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二次分包的风险管理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做好税务筹划防范税收风险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通过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8"/>
                <w:lang w:val="en-US" w:eastAsia="zh-CN" w:bidi="ar"/>
              </w:rPr>
              <w:t>背靠背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8"/>
                <w:lang w:val="en-US" w:eastAsia="zh-CN" w:bidi="ar"/>
              </w:rPr>
              <w:t>方式转移分包合同款项支付风险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按图施工向按约施工理念转变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审计与工程结算关系的风险管理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工程总承包项目独立保函的风险管理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十、降低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管理风险的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项措施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熟悉法规政策文件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总包负总责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投标文件编制风险管理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完善工程合同标准文件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按合同施工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利用合同约定进行索赔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独立保函担保风险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禁止工程总承包项目的转包、违法分包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保证工期的合理性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工程总承包项目的法律风险识别和防范</w:t>
            </w:r>
          </w:p>
        </w:tc>
      </w:tr>
    </w:tbl>
    <w:p>
      <w:pPr>
        <w:rPr>
          <w:rStyle w:val="6"/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ind w:firstLine="1801" w:firstLineChars="500"/>
        <w:rPr>
          <w:rStyle w:val="6"/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 w:bidi="ar"/>
        </w:rPr>
      </w:pPr>
    </w:p>
    <w:p>
      <w:pPr>
        <w:ind w:firstLine="1801" w:firstLineChars="500"/>
        <w:rPr>
          <w:rStyle w:val="6"/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30B47"/>
    <w:rsid w:val="189049D7"/>
    <w:rsid w:val="1F730B47"/>
    <w:rsid w:val="215032E6"/>
    <w:rsid w:val="3126624C"/>
    <w:rsid w:val="3E9200FA"/>
    <w:rsid w:val="452431DB"/>
    <w:rsid w:val="4A6E3ABA"/>
    <w:rsid w:val="604B6E56"/>
    <w:rsid w:val="61617344"/>
    <w:rsid w:val="630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ascii="微软雅黑 Light" w:hAnsi="微软雅黑 Light" w:eastAsia="微软雅黑 Light" w:cs="微软雅黑 Light"/>
      <w:b/>
      <w:color w:val="000000"/>
      <w:sz w:val="28"/>
      <w:szCs w:val="28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898</Words>
  <Characters>961</Characters>
  <Lines>0</Lines>
  <Paragraphs>0</Paragraphs>
  <TotalTime>18</TotalTime>
  <ScaleCrop>false</ScaleCrop>
  <LinksUpToDate>false</LinksUpToDate>
  <CharactersWithSpaces>964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2020-10-12T03:05:00Z</dcterms:created>
  <dc:creator>刘婷</dc:creator>
  <cp:lastModifiedBy>刘扬 Ma</cp:lastModifiedBy>
  <dcterms:modified xsi:type="dcterms:W3CDTF">2020-10-13T02:50:32Z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