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17" w:tblpY="654"/>
        <w:tblOverlap w:val="never"/>
        <w:tblW w:w="96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7"/>
        <w:gridCol w:w="672"/>
        <w:gridCol w:w="50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65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 w:val="0"/>
                <w:color w:val="0070C0"/>
                <w:sz w:val="48"/>
                <w:szCs w:val="48"/>
                <w:lang w:val="en-US" w:eastAsia="zh-CN" w:bidi="ar"/>
              </w:rPr>
              <w:t>新形势下</w:t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 w:val="0"/>
                <w:color w:val="0070C0"/>
                <w:sz w:val="48"/>
                <w:szCs w:val="48"/>
                <w:lang w:val="en-US" w:eastAsia="zh-CN" w:bidi="ar"/>
              </w:rPr>
              <w:t>EPC</w:t>
            </w:r>
            <w:r>
              <w:rPr>
                <w:rStyle w:val="6"/>
                <w:rFonts w:hint="eastAsia" w:ascii="微软雅黑" w:hAnsi="微软雅黑" w:eastAsia="微软雅黑" w:cs="微软雅黑"/>
                <w:b/>
                <w:bCs w:val="0"/>
                <w:color w:val="0070C0"/>
                <w:sz w:val="48"/>
                <w:szCs w:val="48"/>
                <w:lang w:val="en-US" w:eastAsia="zh-CN" w:bidi="ar"/>
              </w:rPr>
              <w:t>总承包工程项目管理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 Light" w:hAnsi="微软雅黑 Light" w:eastAsia="微软雅黑 Light" w:cs="微软雅黑 Light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 w:themeColor="background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章 节</w:t>
            </w:r>
          </w:p>
        </w:tc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 w:themeColor="background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序列</w:t>
            </w:r>
          </w:p>
        </w:tc>
        <w:tc>
          <w:tcPr>
            <w:tcW w:w="5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 w:themeColor="background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内容概述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一、新形势下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EPC</w:t>
            </w: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总承包工程项目管理的游戏规则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国际国内项目管理的差异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工程建设项目管理模式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EPC</w:t>
            </w:r>
            <w:r>
              <w:rPr>
                <w:rStyle w:val="8"/>
                <w:lang w:val="en-US" w:eastAsia="zh-CN" w:bidi="ar"/>
              </w:rPr>
              <w:t>工程总承包的主要内容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EPC</w:t>
            </w:r>
            <w:r>
              <w:rPr>
                <w:rStyle w:val="8"/>
                <w:lang w:val="en-US" w:eastAsia="zh-CN" w:bidi="ar"/>
              </w:rPr>
              <w:t>总承包工程项目管理的难点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EPC</w:t>
            </w:r>
            <w:r>
              <w:rPr>
                <w:rStyle w:val="8"/>
                <w:lang w:val="en-US" w:eastAsia="zh-CN" w:bidi="ar"/>
              </w:rPr>
              <w:t>合同条件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3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EPC</w:t>
            </w:r>
            <w:r>
              <w:rPr>
                <w:rStyle w:val="8"/>
                <w:lang w:val="en-US" w:eastAsia="zh-CN" w:bidi="ar"/>
              </w:rPr>
              <w:t>与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PPP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二、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EPC</w:t>
            </w: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项目启动策划管理实务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启动策划主要工作及需要关注的主要问题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9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项目策划思路方法（基本点及流程方法）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39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项目范围管理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9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三、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EPC</w:t>
            </w: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项目设计管理实务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国内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国际设计差异性分析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39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以设计为主导的前期工作程序案例分享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39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EPC</w:t>
            </w:r>
            <w:r>
              <w:rPr>
                <w:rStyle w:val="8"/>
                <w:lang w:val="en-US" w:eastAsia="zh-CN" w:bidi="ar"/>
              </w:rPr>
              <w:t>对设计院的影响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39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设计过程采办支持工作程序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39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设计与施工、试运行的有效衔接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3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国内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国际设计管理的重点和难点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四、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EPC</w:t>
            </w: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项目采购管理实务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采购工作范围案例分享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采购工作程序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组织及岗位设置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采购工作包划分案例分享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国际项目采购需要关注的问题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五、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EPC</w:t>
            </w: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项目施工管理实务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施工管理工作程序案例分享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某国际工程现场组织案例分享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施工管理工作流程案例分享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施工过程监控关键点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EPC</w:t>
            </w:r>
            <w:r>
              <w:rPr>
                <w:rStyle w:val="8"/>
                <w:lang w:val="en-US" w:eastAsia="zh-CN" w:bidi="ar"/>
              </w:rPr>
              <w:t>工程总承包的分包商管理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六、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EPC</w:t>
            </w: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工程总承包管理在装配式建筑管理中的应用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EPC</w:t>
            </w:r>
            <w:r>
              <w:rPr>
                <w:rStyle w:val="8"/>
                <w:lang w:val="en-US" w:eastAsia="zh-CN" w:bidi="ar"/>
              </w:rPr>
              <w:t>管理模式在装配式中的优势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EPC</w:t>
            </w:r>
            <w:r>
              <w:rPr>
                <w:rStyle w:val="8"/>
                <w:lang w:val="en-US" w:eastAsia="zh-CN" w:bidi="ar"/>
              </w:rPr>
              <w:t>管理模式在装配式中项目中的应用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七、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EPC</w:t>
            </w: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工程总承包失败案例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项目简介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项目管理情况介绍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事故通报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施工管理存在问题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事故中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EPC</w:t>
            </w:r>
            <w:r>
              <w:rPr>
                <w:rStyle w:val="8"/>
                <w:lang w:val="en-US" w:eastAsia="zh-CN" w:bidi="ar"/>
              </w:rPr>
              <w:t>项目管理中存在的问题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关于本次事故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EPC</w:t>
            </w:r>
            <w:r>
              <w:rPr>
                <w:rStyle w:val="8"/>
                <w:lang w:val="en-US" w:eastAsia="zh-CN" w:bidi="ar"/>
              </w:rPr>
              <w:t>项目管理的思考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八、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EPC</w:t>
            </w: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项目收尾管理实务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项目收尾管理主要工作程序案例分享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某国际工程收尾面临的问题案例分享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九、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EPC</w:t>
            </w: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的风险管理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合理选择工程组织实施方式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工程总承包单位的资质资格、项目经理条件能力要求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完善企业组织机构、岗位、人员配置和项目管理机构设置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加强分包、违法分包、转包的风险管理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二次分包的风险管理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做好税务筹划防范税收风险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通过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Style w:val="8"/>
                <w:lang w:val="en-US" w:eastAsia="zh-CN" w:bidi="ar"/>
              </w:rPr>
              <w:t>背靠背</w:t>
            </w: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Style w:val="8"/>
                <w:lang w:val="en-US" w:eastAsia="zh-CN" w:bidi="ar"/>
              </w:rPr>
              <w:t>方式转移分包合同款项支付风险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按图施工向按约施工理念转变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审计与工程结算关系的风险管理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工程总承包项目独立保函的风险管理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十、降低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EPC</w:t>
            </w: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管理风险的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8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t>项措施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熟悉法规政策文件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总包负总责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投标文件编制风险管理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完善工程合同标准文件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按合同施工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利用合同约定进行索赔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独立保函担保风险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禁止工程总承包项目的转包、违法分包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保证工期的合理性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39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 Light" w:hAnsi="微软雅黑 Light" w:eastAsia="微软雅黑 Light" w:cs="微软雅黑 Light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工程总承包项目的法律风险识别和防范</w:t>
            </w:r>
          </w:p>
        </w:tc>
      </w:tr>
    </w:tbl>
    <w:p>
      <w:pPr>
        <w:rPr>
          <w:rStyle w:val="6"/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ind w:firstLine="1801" w:firstLineChars="500"/>
        <w:rPr>
          <w:rStyle w:val="6"/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 w:bidi="ar"/>
        </w:rPr>
      </w:pPr>
    </w:p>
    <w:p>
      <w:pPr>
        <w:ind w:firstLine="1801" w:firstLineChars="500"/>
        <w:rPr>
          <w:rStyle w:val="6"/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30B47"/>
    <w:rsid w:val="189049D7"/>
    <w:rsid w:val="1F730B47"/>
    <w:rsid w:val="215032E6"/>
    <w:rsid w:val="3126624C"/>
    <w:rsid w:val="3E9200FA"/>
    <w:rsid w:val="452431DB"/>
    <w:rsid w:val="4A6E3ABA"/>
    <w:rsid w:val="604B6E56"/>
    <w:rsid w:val="61617344"/>
    <w:rsid w:val="630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ascii="微软雅黑 Light" w:hAnsi="微软雅黑 Light" w:eastAsia="微软雅黑 Light" w:cs="微软雅黑 Light"/>
      <w:b/>
      <w:color w:val="000000"/>
      <w:sz w:val="28"/>
      <w:szCs w:val="28"/>
      <w:u w:val="none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898</Words>
  <Characters>961</Characters>
  <Lines>0</Lines>
  <Paragraphs>0</Paragraphs>
  <TotalTime>18</TotalTime>
  <ScaleCrop>false</ScaleCrop>
  <LinksUpToDate>false</LinksUpToDate>
  <CharactersWithSpaces>964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2020-10-12T03:05:00Z</dcterms:created>
  <dc:creator>刘婷</dc:creator>
  <cp:lastModifiedBy>刘扬 Ma</cp:lastModifiedBy>
  <dcterms:modified xsi:type="dcterms:W3CDTF">2020-10-13T02:50:32Z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