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left="960" w:hanging="960" w:hangingChars="300"/>
        <w:rPr>
          <w:rFonts w:ascii="仿宋" w:hAnsi="仿宋" w:eastAsia="仿宋" w:cs="仿宋"/>
          <w:b/>
          <w:sz w:val="44"/>
          <w:szCs w:val="44"/>
        </w:rPr>
      </w:pPr>
      <w:r>
        <w:rPr>
          <w:rFonts w:hint="eastAsia" w:ascii="仿宋" w:hAnsi="仿宋" w:eastAsia="仿宋" w:cs="仿宋"/>
          <w:bCs/>
          <w:sz w:val="32"/>
          <w:szCs w:val="32"/>
        </w:rPr>
        <w:t>附件1：</w:t>
      </w:r>
    </w:p>
    <w:p>
      <w:pPr>
        <w:spacing w:line="540" w:lineRule="exact"/>
        <w:ind w:left="1324" w:leftChars="210" w:hanging="883" w:hangingChars="200"/>
        <w:rPr>
          <w:rFonts w:ascii="仿宋" w:hAnsi="仿宋" w:eastAsia="仿宋" w:cs="仿宋"/>
          <w:b/>
          <w:sz w:val="44"/>
          <w:szCs w:val="44"/>
        </w:rPr>
      </w:pPr>
      <w:r>
        <w:rPr>
          <w:rFonts w:hint="eastAsia" w:ascii="仿宋" w:hAnsi="仿宋" w:eastAsia="仿宋" w:cs="仿宋"/>
          <w:b/>
          <w:sz w:val="44"/>
          <w:szCs w:val="44"/>
        </w:rPr>
        <w:t>北京市建设工程招标投标与造价管理协会</w:t>
      </w:r>
    </w:p>
    <w:p>
      <w:pPr>
        <w:spacing w:line="540" w:lineRule="exact"/>
        <w:ind w:firstLine="883" w:firstLineChars="200"/>
        <w:rPr>
          <w:rFonts w:eastAsia="仿宋"/>
        </w:rPr>
      </w:pPr>
      <w:r>
        <w:rPr>
          <w:rFonts w:hint="eastAsia" w:ascii="仿宋" w:hAnsi="仿宋" w:eastAsia="仿宋" w:cs="仿宋"/>
          <w:b/>
          <w:sz w:val="44"/>
          <w:szCs w:val="44"/>
        </w:rPr>
        <w:t xml:space="preserve">工程项目风险管理委员会管理办法 </w:t>
      </w:r>
    </w:p>
    <w:p>
      <w:pPr>
        <w:spacing w:line="400" w:lineRule="exact"/>
        <w:jc w:val="center"/>
        <w:rPr>
          <w:color w:val="000000" w:themeColor="text1"/>
          <w:sz w:val="28"/>
          <w:szCs w:val="28"/>
        </w:rPr>
      </w:pPr>
    </w:p>
    <w:p>
      <w:pPr>
        <w:spacing w:line="600" w:lineRule="exact"/>
        <w:jc w:val="center"/>
        <w:rPr>
          <w:rFonts w:ascii="仿宋" w:hAnsi="仿宋" w:eastAsia="仿宋" w:cs="仿宋"/>
          <w:b/>
          <w:bCs/>
          <w:sz w:val="32"/>
          <w:szCs w:val="32"/>
        </w:rPr>
      </w:pPr>
      <w:r>
        <w:rPr>
          <w:rFonts w:hint="eastAsia" w:ascii="仿宋" w:hAnsi="仿宋" w:eastAsia="仿宋" w:cs="仿宋"/>
          <w:b/>
          <w:bCs/>
          <w:sz w:val="32"/>
          <w:szCs w:val="32"/>
        </w:rPr>
        <w:t>第一章 总则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第一条 根据北京市建设工程招标投标和造价管理协会（以下简称京标价协）专家委员会管理办法，为适应政策要求和行业发展需要，充分发挥专家资源在建设工程全过程中投资、招标投标和造价风险管理中的核心作用，决定成立工程项目风险管理委员会（以下简称风管会或本委员会）。为规范和促进风管会的管理和发展，特制定本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第二条 成立工程项目风险管理委员会的宗旨是助推建设工程项目全过程风险管理的可持续发展，充分利用专家资源，为建立健全和完善符合市场发展需要的全过程建设工程项目风险管理体系发挥作用。同时联合协会下属的其它委员会、相关行业组织，探讨培养具有国际视野、跨学科专业知识、综合专业实践能力和规范执业操守的风险管理专业人士。</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第三条 工程项目风险管理委员会主要职责：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本委员会以国际工程咨询服务平台为载体，面向国内外开展工程建设项目全过程风险管理的宣传推广工作，研究探讨如何开展为需求方在建设工程项目全过程中提供从风险识别到风险应对的多元化服务。本委员会主要职责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（一）本委员会的管理制度建设，规范专家行为；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（二）风险管理体系建设，开展涵盖工程建设项目全过程中与投资、造价、招投标有关的风险管理知识领域研究；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（三）与相关行业组织开展与工程风险有关的学术研讨交流及业务建设活动，包括各种形式的学术研究、会议、论坛等；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（四）以请进来、走出去的形式组织开展国内外与工程风险管理有关的培训活动，提升本委员会专家在风险管控方面的能力和知识拓展；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（五）积极承担各级政府部门、行业组织等委托的课题或公益活动。</w:t>
      </w:r>
    </w:p>
    <w:p>
      <w:pPr>
        <w:spacing w:line="600" w:lineRule="exact"/>
        <w:jc w:val="center"/>
        <w:rPr>
          <w:rFonts w:ascii="仿宋" w:hAnsi="仿宋" w:eastAsia="仿宋" w:cs="仿宋"/>
          <w:b/>
          <w:bCs/>
          <w:sz w:val="32"/>
          <w:szCs w:val="32"/>
        </w:rPr>
      </w:pPr>
      <w:r>
        <w:rPr>
          <w:rFonts w:hint="eastAsia" w:ascii="仿宋" w:hAnsi="仿宋" w:eastAsia="仿宋" w:cs="仿宋"/>
          <w:b/>
          <w:bCs/>
          <w:sz w:val="32"/>
          <w:szCs w:val="32"/>
        </w:rPr>
        <w:t>第二章 组织管理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第四条 本委员会设主任1名、副主任2名。委员会主任按照京标价协专委会管理办法的要求负责全面工作，副主任协助主任工作，并按工作分工开展具体工作。</w:t>
      </w:r>
    </w:p>
    <w:p>
      <w:pPr>
        <w:spacing w:line="600" w:lineRule="exact"/>
        <w:jc w:val="center"/>
        <w:rPr>
          <w:rFonts w:ascii="仿宋" w:hAnsi="仿宋" w:eastAsia="仿宋" w:cs="仿宋"/>
          <w:b/>
          <w:bCs/>
          <w:sz w:val="32"/>
          <w:szCs w:val="32"/>
        </w:rPr>
      </w:pPr>
      <w:r>
        <w:rPr>
          <w:rFonts w:hint="eastAsia" w:ascii="仿宋" w:hAnsi="仿宋" w:eastAsia="仿宋" w:cs="仿宋"/>
          <w:b/>
          <w:bCs/>
          <w:sz w:val="32"/>
          <w:szCs w:val="32"/>
        </w:rPr>
        <w:t xml:space="preserve">第三章 </w:t>
      </w:r>
      <w:r>
        <w:rPr>
          <w:rFonts w:hint="eastAsia" w:ascii="仿宋" w:hAnsi="仿宋" w:eastAsia="仿宋" w:cs="仿宋"/>
          <w:sz w:val="32"/>
          <w:szCs w:val="32"/>
        </w:rPr>
        <w:t>专家</w:t>
      </w:r>
      <w:r>
        <w:rPr>
          <w:rFonts w:hint="eastAsia" w:ascii="仿宋" w:hAnsi="仿宋" w:eastAsia="仿宋" w:cs="仿宋"/>
          <w:b/>
          <w:bCs/>
          <w:sz w:val="32"/>
          <w:szCs w:val="32"/>
        </w:rPr>
        <w:t>行为规范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第五条 本委员会的专家在业务活动中应遵循以下行为规范：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（一）认真贯彻坚持党和国家的路线、方针、政策；</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（二）遵纪守法，维护国家和社会公共利益，维护委托人的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合法权益，依法合规处理相关风险管理事项；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（三）品行端正，工作勤勉，客观谨慎，具备良好的执业操守和专业奉献精神；</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（四）专业素质良好，具备必要的项目管理和风险管理相关知识、具备综合专业技术能力</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 xml:space="preserve">（五）自觉遵守京标价协及专委会的管理制度。 </w:t>
      </w:r>
    </w:p>
    <w:p>
      <w:pPr>
        <w:spacing w:line="600" w:lineRule="exact"/>
        <w:ind w:firstLine="2570" w:firstLineChars="800"/>
        <w:rPr>
          <w:rFonts w:ascii="仿宋" w:hAnsi="仿宋" w:eastAsia="仿宋" w:cs="仿宋"/>
          <w:b/>
          <w:bCs/>
          <w:sz w:val="32"/>
          <w:szCs w:val="32"/>
        </w:rPr>
      </w:pPr>
      <w:r>
        <w:rPr>
          <w:rFonts w:hint="eastAsia" w:ascii="仿宋" w:hAnsi="仿宋" w:eastAsia="仿宋" w:cs="仿宋"/>
          <w:b/>
          <w:bCs/>
          <w:sz w:val="32"/>
          <w:szCs w:val="32"/>
        </w:rPr>
        <w:t>第四章 专家认证与培训</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第六条 本委员会对风险管理专家的认证分为推荐和培训两种发展途径。推荐途径是指本委员会可对长期从事建设工程风险管理或涉及相关专业工作的资深专家，以推荐的方式发展成为本委员会的风险管理专家；培训途径是指符合培训报名条件的专家可自行报名参加培训，经培训合格后发展为本委员会的风险管理专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第七条 持续培训是对本委员会风险管理专家任职和续聘的主要依据，培训内容根据政策环境和行业发展需要另行制定。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第八条 本办法由北京市建设工程招标投标和造价管理协会专委会负责解释，自2021年</w:t>
      </w:r>
      <w:r>
        <w:rPr>
          <w:rFonts w:hint="eastAsia" w:ascii="仿宋" w:hAnsi="仿宋" w:eastAsia="仿宋" w:cs="仿宋"/>
          <w:sz w:val="32"/>
          <w:szCs w:val="32"/>
          <w:lang w:val="en-US" w:eastAsia="zh-CN"/>
        </w:rPr>
        <w:t>7</w:t>
      </w:r>
      <w:r>
        <w:rPr>
          <w:rFonts w:hint="eastAsia" w:ascii="仿宋" w:hAnsi="仿宋" w:eastAsia="仿宋" w:cs="仿宋"/>
          <w:sz w:val="32"/>
          <w:szCs w:val="32"/>
        </w:rPr>
        <w:t>月 日</w:t>
      </w:r>
      <w:r>
        <w:rPr>
          <w:rFonts w:hint="eastAsia" w:ascii="仿宋" w:hAnsi="仿宋" w:eastAsia="仿宋" w:cs="仿宋"/>
          <w:bCs/>
          <w:sz w:val="32"/>
          <w:szCs w:val="32"/>
        </w:rPr>
        <w:t>北京市建设工程招标投标和造价管理协会</w:t>
      </w:r>
      <w:r>
        <w:rPr>
          <w:rFonts w:hint="eastAsia" w:ascii="仿宋" w:hAnsi="仿宋" w:eastAsia="仿宋" w:cs="仿宋"/>
          <w:bCs/>
          <w:sz w:val="32"/>
          <w:szCs w:val="32"/>
          <w:lang w:val="en-US" w:eastAsia="zh-CN"/>
        </w:rPr>
        <w:t>一</w:t>
      </w:r>
      <w:r>
        <w:rPr>
          <w:rFonts w:hint="eastAsia" w:ascii="仿宋" w:hAnsi="仿宋" w:eastAsia="仿宋" w:cs="仿宋"/>
          <w:bCs/>
          <w:sz w:val="32"/>
          <w:szCs w:val="32"/>
        </w:rPr>
        <w:t>届</w:t>
      </w:r>
      <w:r>
        <w:rPr>
          <w:rFonts w:hint="eastAsia" w:ascii="仿宋" w:hAnsi="仿宋" w:eastAsia="仿宋" w:cs="仿宋"/>
          <w:bCs/>
          <w:sz w:val="32"/>
          <w:szCs w:val="32"/>
          <w:lang w:val="en-US" w:eastAsia="zh-CN"/>
        </w:rPr>
        <w:t>六</w:t>
      </w:r>
      <w:r>
        <w:rPr>
          <w:rFonts w:hint="eastAsia" w:ascii="仿宋" w:hAnsi="仿宋" w:eastAsia="仿宋" w:cs="仿宋"/>
          <w:bCs/>
          <w:sz w:val="32"/>
          <w:szCs w:val="32"/>
        </w:rPr>
        <w:t>次理事会通过之日起实施</w:t>
      </w:r>
      <w:r>
        <w:rPr>
          <w:rFonts w:hint="eastAsia" w:ascii="仿宋" w:hAnsi="仿宋" w:eastAsia="仿宋" w:cs="仿宋"/>
          <w:sz w:val="32"/>
          <w:szCs w:val="32"/>
        </w:rPr>
        <w:t>。</w:t>
      </w:r>
    </w:p>
    <w:p>
      <w:pPr>
        <w:spacing w:line="500" w:lineRule="exact"/>
        <w:ind w:firstLine="640" w:firstLineChars="200"/>
        <w:jc w:val="left"/>
        <w:rPr>
          <w:rFonts w:ascii="仿宋" w:hAnsi="仿宋" w:eastAsia="仿宋" w:cs="仿宋"/>
          <w:sz w:val="32"/>
          <w:szCs w:val="32"/>
        </w:rPr>
      </w:pPr>
    </w:p>
    <w:p>
      <w:pPr>
        <w:spacing w:line="500" w:lineRule="exact"/>
        <w:ind w:firstLine="640" w:firstLineChars="200"/>
        <w:jc w:val="left"/>
        <w:rPr>
          <w:rFonts w:ascii="仿宋" w:hAnsi="仿宋" w:eastAsia="仿宋" w:cs="仿宋"/>
          <w:sz w:val="32"/>
          <w:szCs w:val="32"/>
        </w:rPr>
      </w:pPr>
      <w:bookmarkStart w:id="0" w:name="_Toc487305028"/>
      <w:bookmarkEnd w:id="0"/>
    </w:p>
    <w:p>
      <w:pPr>
        <w:spacing w:line="500" w:lineRule="exact"/>
        <w:ind w:firstLine="640" w:firstLineChars="200"/>
        <w:jc w:val="left"/>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5438" w:leftChars="304" w:hanging="4800" w:hangingChars="1500"/>
        <w:jc w:val="left"/>
        <w:textAlignment w:val="auto"/>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北京市建设工程招标投标和造价管理协会专家委员会                    2021年</w:t>
      </w:r>
      <w:r>
        <w:rPr>
          <w:rFonts w:hint="eastAsia" w:ascii="仿宋" w:hAnsi="仿宋" w:eastAsia="仿宋" w:cs="仿宋"/>
          <w:sz w:val="32"/>
          <w:szCs w:val="32"/>
          <w:lang w:val="en-US" w:eastAsia="zh-CN"/>
        </w:rPr>
        <w:t>7</w:t>
      </w:r>
      <w:r>
        <w:rPr>
          <w:rFonts w:hint="eastAsia" w:ascii="仿宋" w:hAnsi="仿宋" w:eastAsia="仿宋" w:cs="仿宋"/>
          <w:sz w:val="32"/>
          <w:szCs w:val="32"/>
        </w:rPr>
        <w:t>月  日</w:t>
      </w:r>
      <w:bookmarkStart w:id="1" w:name="_GoBack"/>
      <w:bookmarkEnd w:id="1"/>
    </w:p>
    <w:p>
      <w:pPr>
        <w:spacing w:line="520" w:lineRule="exact"/>
        <w:jc w:val="center"/>
        <w:rPr>
          <w:rFonts w:ascii="仿宋" w:hAnsi="仿宋" w:eastAsia="仿宋" w:cs="仿宋"/>
          <w:sz w:val="32"/>
          <w:szCs w:val="32"/>
        </w:rPr>
      </w:pPr>
    </w:p>
    <w:p>
      <w:pPr>
        <w:spacing w:line="520" w:lineRule="exact"/>
        <w:jc w:val="center"/>
        <w:rPr>
          <w:rFonts w:ascii="仿宋" w:hAnsi="仿宋" w:eastAsia="仿宋" w:cs="仿宋"/>
          <w:sz w:val="32"/>
          <w:szCs w:val="32"/>
        </w:rPr>
      </w:pPr>
    </w:p>
    <w:sectPr>
      <w:footerReference r:id="rId3" w:type="default"/>
      <w:footerReference r:id="rId4" w:type="even"/>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0299403"/>
    </w:sdtPr>
    <w:sdtContent>
      <w:p>
        <w:pPr>
          <w:pStyle w:val="7"/>
          <w:jc w:val="center"/>
        </w:pPr>
      </w:p>
      <w:p>
        <w:pPr>
          <w:pStyle w:val="7"/>
          <w:jc w:val="center"/>
        </w:pPr>
        <w:r>
          <w:fldChar w:fldCharType="begin"/>
        </w:r>
        <w:r>
          <w:instrText xml:space="preserve">PAGE   \* MERGEFORMAT</w:instrText>
        </w:r>
        <w:r>
          <w:fldChar w:fldCharType="separate"/>
        </w:r>
        <w:r>
          <w:rPr>
            <w:lang w:val="zh-CN"/>
          </w:rPr>
          <w:t>1</w:t>
        </w:r>
        <w:r>
          <w:fldChar w:fldCharType="end"/>
        </w:r>
      </w:p>
    </w:sdtContent>
  </w:sdt>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2"/>
      </w:rPr>
    </w:pPr>
    <w:r>
      <w:rPr>
        <w:rStyle w:val="12"/>
      </w:rPr>
      <w:fldChar w:fldCharType="begin"/>
    </w:r>
    <w:r>
      <w:rPr>
        <w:rStyle w:val="12"/>
      </w:rPr>
      <w:instrText xml:space="preserve">PAGE  </w:instrText>
    </w:r>
    <w:r>
      <w:rPr>
        <w:rStyle w:val="12"/>
      </w:rPr>
      <w:fldChar w:fldCharType="end"/>
    </w:r>
  </w:p>
  <w:p>
    <w:pPr>
      <w:pStyle w:val="7"/>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F5CB6"/>
    <w:rsid w:val="00044140"/>
    <w:rsid w:val="0005157C"/>
    <w:rsid w:val="000538F2"/>
    <w:rsid w:val="000943B6"/>
    <w:rsid w:val="000A66FF"/>
    <w:rsid w:val="000B3AA2"/>
    <w:rsid w:val="000E1140"/>
    <w:rsid w:val="000F28B6"/>
    <w:rsid w:val="000F5594"/>
    <w:rsid w:val="00120DB0"/>
    <w:rsid w:val="00171C16"/>
    <w:rsid w:val="0018133E"/>
    <w:rsid w:val="001A212A"/>
    <w:rsid w:val="001B3A92"/>
    <w:rsid w:val="001C029A"/>
    <w:rsid w:val="001D7EE0"/>
    <w:rsid w:val="001F46DB"/>
    <w:rsid w:val="001F5349"/>
    <w:rsid w:val="001F6CDF"/>
    <w:rsid w:val="00203C1E"/>
    <w:rsid w:val="00234B16"/>
    <w:rsid w:val="0023525C"/>
    <w:rsid w:val="00266A80"/>
    <w:rsid w:val="00272699"/>
    <w:rsid w:val="00281388"/>
    <w:rsid w:val="00283956"/>
    <w:rsid w:val="002C52E8"/>
    <w:rsid w:val="002D5101"/>
    <w:rsid w:val="002E4D04"/>
    <w:rsid w:val="002E6759"/>
    <w:rsid w:val="00333320"/>
    <w:rsid w:val="003427D0"/>
    <w:rsid w:val="003651A7"/>
    <w:rsid w:val="00377909"/>
    <w:rsid w:val="00386F6C"/>
    <w:rsid w:val="003B115A"/>
    <w:rsid w:val="003B7EF0"/>
    <w:rsid w:val="003E2FB4"/>
    <w:rsid w:val="003F2195"/>
    <w:rsid w:val="00401520"/>
    <w:rsid w:val="004130CF"/>
    <w:rsid w:val="0043002F"/>
    <w:rsid w:val="004324EC"/>
    <w:rsid w:val="004451C7"/>
    <w:rsid w:val="00451AA8"/>
    <w:rsid w:val="004715CE"/>
    <w:rsid w:val="004C111C"/>
    <w:rsid w:val="004F6547"/>
    <w:rsid w:val="005553CA"/>
    <w:rsid w:val="005706DA"/>
    <w:rsid w:val="00585A64"/>
    <w:rsid w:val="00590D3C"/>
    <w:rsid w:val="00594E00"/>
    <w:rsid w:val="005A7A4A"/>
    <w:rsid w:val="005B6DDE"/>
    <w:rsid w:val="005E4D3E"/>
    <w:rsid w:val="005F2F49"/>
    <w:rsid w:val="005F5CB6"/>
    <w:rsid w:val="006005E2"/>
    <w:rsid w:val="00625425"/>
    <w:rsid w:val="006A2BDC"/>
    <w:rsid w:val="006C3450"/>
    <w:rsid w:val="006D7C22"/>
    <w:rsid w:val="006E4585"/>
    <w:rsid w:val="006E7544"/>
    <w:rsid w:val="0070587A"/>
    <w:rsid w:val="00763B29"/>
    <w:rsid w:val="007C3AE1"/>
    <w:rsid w:val="007C5B3E"/>
    <w:rsid w:val="007D082C"/>
    <w:rsid w:val="007E5CD5"/>
    <w:rsid w:val="0080554C"/>
    <w:rsid w:val="00840596"/>
    <w:rsid w:val="00854C5A"/>
    <w:rsid w:val="0086295D"/>
    <w:rsid w:val="00864F98"/>
    <w:rsid w:val="0088277E"/>
    <w:rsid w:val="00893349"/>
    <w:rsid w:val="008C3209"/>
    <w:rsid w:val="008C3FAA"/>
    <w:rsid w:val="0090143D"/>
    <w:rsid w:val="00925125"/>
    <w:rsid w:val="00927C87"/>
    <w:rsid w:val="009326F1"/>
    <w:rsid w:val="00936B71"/>
    <w:rsid w:val="009407C4"/>
    <w:rsid w:val="00995E08"/>
    <w:rsid w:val="009966DC"/>
    <w:rsid w:val="00996DF0"/>
    <w:rsid w:val="009B3C79"/>
    <w:rsid w:val="009B4702"/>
    <w:rsid w:val="009D27EE"/>
    <w:rsid w:val="009E261A"/>
    <w:rsid w:val="009F4BF2"/>
    <w:rsid w:val="00A03C49"/>
    <w:rsid w:val="00A943C6"/>
    <w:rsid w:val="00B00DA5"/>
    <w:rsid w:val="00B11C3B"/>
    <w:rsid w:val="00B27B4A"/>
    <w:rsid w:val="00B54F0E"/>
    <w:rsid w:val="00B627B0"/>
    <w:rsid w:val="00B67415"/>
    <w:rsid w:val="00BA3302"/>
    <w:rsid w:val="00BF461C"/>
    <w:rsid w:val="00C60E1A"/>
    <w:rsid w:val="00C70FBA"/>
    <w:rsid w:val="00CD6CEB"/>
    <w:rsid w:val="00D231AB"/>
    <w:rsid w:val="00D2587D"/>
    <w:rsid w:val="00D26920"/>
    <w:rsid w:val="00D31FC3"/>
    <w:rsid w:val="00D55CFB"/>
    <w:rsid w:val="00DD330C"/>
    <w:rsid w:val="00DE4724"/>
    <w:rsid w:val="00DE4D21"/>
    <w:rsid w:val="00DF2B15"/>
    <w:rsid w:val="00DF7FD6"/>
    <w:rsid w:val="00E22FAB"/>
    <w:rsid w:val="00E37F38"/>
    <w:rsid w:val="00E65638"/>
    <w:rsid w:val="00E81140"/>
    <w:rsid w:val="00E954B9"/>
    <w:rsid w:val="00EA61CA"/>
    <w:rsid w:val="00EE6201"/>
    <w:rsid w:val="00EF1164"/>
    <w:rsid w:val="00F000B6"/>
    <w:rsid w:val="00F04394"/>
    <w:rsid w:val="00F356C8"/>
    <w:rsid w:val="00F5185B"/>
    <w:rsid w:val="00F574F1"/>
    <w:rsid w:val="00F60104"/>
    <w:rsid w:val="00F742EE"/>
    <w:rsid w:val="00F860B1"/>
    <w:rsid w:val="00FD4541"/>
    <w:rsid w:val="00FE604E"/>
    <w:rsid w:val="02537071"/>
    <w:rsid w:val="03475250"/>
    <w:rsid w:val="035D69DD"/>
    <w:rsid w:val="04A33F85"/>
    <w:rsid w:val="05894063"/>
    <w:rsid w:val="06063A66"/>
    <w:rsid w:val="065B4B81"/>
    <w:rsid w:val="073C79DB"/>
    <w:rsid w:val="07A357C4"/>
    <w:rsid w:val="07DA2E39"/>
    <w:rsid w:val="0A3C6BD6"/>
    <w:rsid w:val="0A861125"/>
    <w:rsid w:val="0B1A2B37"/>
    <w:rsid w:val="0CB124FA"/>
    <w:rsid w:val="0F140C28"/>
    <w:rsid w:val="0F2A3E6C"/>
    <w:rsid w:val="102E39FE"/>
    <w:rsid w:val="11200F5A"/>
    <w:rsid w:val="1166367C"/>
    <w:rsid w:val="11E37088"/>
    <w:rsid w:val="133D6B02"/>
    <w:rsid w:val="14070C06"/>
    <w:rsid w:val="14892B7F"/>
    <w:rsid w:val="15B92771"/>
    <w:rsid w:val="168E213D"/>
    <w:rsid w:val="169E5B70"/>
    <w:rsid w:val="16D72DB3"/>
    <w:rsid w:val="178572A7"/>
    <w:rsid w:val="18875ECA"/>
    <w:rsid w:val="18F86151"/>
    <w:rsid w:val="195D798F"/>
    <w:rsid w:val="19EE58F4"/>
    <w:rsid w:val="1A325192"/>
    <w:rsid w:val="1B354250"/>
    <w:rsid w:val="1C306569"/>
    <w:rsid w:val="1C9D510D"/>
    <w:rsid w:val="1CB2480E"/>
    <w:rsid w:val="1EA42E76"/>
    <w:rsid w:val="1EB71CBF"/>
    <w:rsid w:val="1F142FB8"/>
    <w:rsid w:val="20F3541C"/>
    <w:rsid w:val="22927FEC"/>
    <w:rsid w:val="23704620"/>
    <w:rsid w:val="23911DED"/>
    <w:rsid w:val="23F261AB"/>
    <w:rsid w:val="24EC0F81"/>
    <w:rsid w:val="25BD4B9D"/>
    <w:rsid w:val="267369B2"/>
    <w:rsid w:val="26CC686B"/>
    <w:rsid w:val="284A5FF0"/>
    <w:rsid w:val="2A272BDD"/>
    <w:rsid w:val="2A4E7349"/>
    <w:rsid w:val="2A8B08A1"/>
    <w:rsid w:val="2B7D5628"/>
    <w:rsid w:val="2BD879F3"/>
    <w:rsid w:val="2CC82C80"/>
    <w:rsid w:val="2CEB0162"/>
    <w:rsid w:val="2CFC4EC9"/>
    <w:rsid w:val="2CFD2A78"/>
    <w:rsid w:val="2FDD4462"/>
    <w:rsid w:val="317E63D3"/>
    <w:rsid w:val="32B861D3"/>
    <w:rsid w:val="32FD563A"/>
    <w:rsid w:val="33514B47"/>
    <w:rsid w:val="345D019D"/>
    <w:rsid w:val="34B2512B"/>
    <w:rsid w:val="351F06EA"/>
    <w:rsid w:val="37AF76BE"/>
    <w:rsid w:val="387C7A75"/>
    <w:rsid w:val="38E67C80"/>
    <w:rsid w:val="39B80402"/>
    <w:rsid w:val="3A650579"/>
    <w:rsid w:val="3BEE52EF"/>
    <w:rsid w:val="3C141B4F"/>
    <w:rsid w:val="3C7740DF"/>
    <w:rsid w:val="3CCD699B"/>
    <w:rsid w:val="3CE26F1F"/>
    <w:rsid w:val="3D046AC7"/>
    <w:rsid w:val="3D3300F5"/>
    <w:rsid w:val="3D3E50C2"/>
    <w:rsid w:val="3DD44A4C"/>
    <w:rsid w:val="3DE47DB2"/>
    <w:rsid w:val="3E692766"/>
    <w:rsid w:val="3E6A0813"/>
    <w:rsid w:val="3E8049F5"/>
    <w:rsid w:val="3F4C69C2"/>
    <w:rsid w:val="3F6B5E15"/>
    <w:rsid w:val="4035487A"/>
    <w:rsid w:val="403C2FAA"/>
    <w:rsid w:val="40C47047"/>
    <w:rsid w:val="40DB58D8"/>
    <w:rsid w:val="41A95683"/>
    <w:rsid w:val="41FD20E8"/>
    <w:rsid w:val="449C59F3"/>
    <w:rsid w:val="45893519"/>
    <w:rsid w:val="459E2E6F"/>
    <w:rsid w:val="45BA1522"/>
    <w:rsid w:val="46364686"/>
    <w:rsid w:val="48212985"/>
    <w:rsid w:val="482662FA"/>
    <w:rsid w:val="48277018"/>
    <w:rsid w:val="49250A1C"/>
    <w:rsid w:val="49B43A50"/>
    <w:rsid w:val="49F556FC"/>
    <w:rsid w:val="4A182722"/>
    <w:rsid w:val="4B296D36"/>
    <w:rsid w:val="4B78468A"/>
    <w:rsid w:val="4B8C2B5E"/>
    <w:rsid w:val="4EE45DD1"/>
    <w:rsid w:val="4EEF6F21"/>
    <w:rsid w:val="4F147205"/>
    <w:rsid w:val="50214D94"/>
    <w:rsid w:val="50F95E33"/>
    <w:rsid w:val="53C41B80"/>
    <w:rsid w:val="54721929"/>
    <w:rsid w:val="54AB4C5C"/>
    <w:rsid w:val="54C638D4"/>
    <w:rsid w:val="55257E01"/>
    <w:rsid w:val="55AD177A"/>
    <w:rsid w:val="55CC6438"/>
    <w:rsid w:val="569D4C9D"/>
    <w:rsid w:val="58413158"/>
    <w:rsid w:val="59123E59"/>
    <w:rsid w:val="59186798"/>
    <w:rsid w:val="59274BFC"/>
    <w:rsid w:val="5A1462EF"/>
    <w:rsid w:val="5BF65430"/>
    <w:rsid w:val="5C3C2C48"/>
    <w:rsid w:val="5D5310F9"/>
    <w:rsid w:val="5DF55F1F"/>
    <w:rsid w:val="5E270D01"/>
    <w:rsid w:val="5E321738"/>
    <w:rsid w:val="5EDB2928"/>
    <w:rsid w:val="5F0E76D5"/>
    <w:rsid w:val="5F5F2721"/>
    <w:rsid w:val="5F7C40B4"/>
    <w:rsid w:val="5FA81963"/>
    <w:rsid w:val="61383605"/>
    <w:rsid w:val="613F6B97"/>
    <w:rsid w:val="61D02E89"/>
    <w:rsid w:val="62E81C18"/>
    <w:rsid w:val="64F05DCC"/>
    <w:rsid w:val="682B0FFC"/>
    <w:rsid w:val="69321E32"/>
    <w:rsid w:val="699C548E"/>
    <w:rsid w:val="6AAA5B91"/>
    <w:rsid w:val="6B0C10C7"/>
    <w:rsid w:val="6B167843"/>
    <w:rsid w:val="6B7E5B13"/>
    <w:rsid w:val="6E6F54A6"/>
    <w:rsid w:val="6E803751"/>
    <w:rsid w:val="6E860E57"/>
    <w:rsid w:val="6EFF2D8E"/>
    <w:rsid w:val="7068332D"/>
    <w:rsid w:val="706E631C"/>
    <w:rsid w:val="7143212C"/>
    <w:rsid w:val="718F0CB0"/>
    <w:rsid w:val="71C566AA"/>
    <w:rsid w:val="71DE047A"/>
    <w:rsid w:val="72DD6EF3"/>
    <w:rsid w:val="730D0D7C"/>
    <w:rsid w:val="73864421"/>
    <w:rsid w:val="75377B31"/>
    <w:rsid w:val="75F072D6"/>
    <w:rsid w:val="76654829"/>
    <w:rsid w:val="77350570"/>
    <w:rsid w:val="78003D2D"/>
    <w:rsid w:val="7A743882"/>
    <w:rsid w:val="7A805BC2"/>
    <w:rsid w:val="7B370746"/>
    <w:rsid w:val="7B746CD1"/>
    <w:rsid w:val="7C4B3499"/>
    <w:rsid w:val="7CA40AFC"/>
    <w:rsid w:val="7D1534BD"/>
    <w:rsid w:val="7D573C21"/>
    <w:rsid w:val="7DBC6EE9"/>
    <w:rsid w:val="7EAE4033"/>
    <w:rsid w:val="7F6C35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3"/>
    <w:qFormat/>
    <w:uiPriority w:val="0"/>
    <w:pPr>
      <w:spacing w:line="360" w:lineRule="auto"/>
      <w:jc w:val="center"/>
    </w:pPr>
    <w:rPr>
      <w:rFonts w:ascii="微软雅黑" w:hAnsi="微软雅黑" w:eastAsia="微软雅黑"/>
      <w:sz w:val="32"/>
      <w:szCs w:val="32"/>
    </w:rPr>
  </w:style>
  <w:style w:type="paragraph" w:styleId="4">
    <w:name w:val="annotation text"/>
    <w:basedOn w:val="1"/>
    <w:semiHidden/>
    <w:unhideWhenUsed/>
    <w:qFormat/>
    <w:uiPriority w:val="99"/>
    <w:pPr>
      <w:jc w:val="left"/>
    </w:pPr>
  </w:style>
  <w:style w:type="paragraph" w:styleId="5">
    <w:name w:val="Date"/>
    <w:basedOn w:val="1"/>
    <w:next w:val="1"/>
    <w:link w:val="15"/>
    <w:semiHidden/>
    <w:unhideWhenUsed/>
    <w:qFormat/>
    <w:uiPriority w:val="99"/>
    <w:pPr>
      <w:ind w:left="100" w:leftChars="2500"/>
    </w:pPr>
  </w:style>
  <w:style w:type="paragraph" w:styleId="6">
    <w:name w:val="Balloon Text"/>
    <w:basedOn w:val="1"/>
    <w:link w:val="18"/>
    <w:semiHidden/>
    <w:unhideWhenUsed/>
    <w:qFormat/>
    <w:uiPriority w:val="99"/>
    <w:rPr>
      <w:sz w:val="18"/>
      <w:szCs w:val="18"/>
    </w:rPr>
  </w:style>
  <w:style w:type="paragraph" w:styleId="7">
    <w:name w:val="footer"/>
    <w:basedOn w:val="1"/>
    <w:link w:val="13"/>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qFormat/>
    <w:uiPriority w:val="0"/>
    <w:pPr>
      <w:widowControl/>
      <w:spacing w:before="100" w:beforeAutospacing="1" w:after="100" w:afterAutospacing="1"/>
      <w:jc w:val="left"/>
    </w:pPr>
    <w:rPr>
      <w:rFonts w:hint="eastAsia" w:ascii="宋体" w:hAnsi="宋体"/>
      <w:kern w:val="0"/>
      <w:sz w:val="24"/>
    </w:rPr>
  </w:style>
  <w:style w:type="character" w:styleId="12">
    <w:name w:val="page number"/>
    <w:basedOn w:val="11"/>
    <w:semiHidden/>
    <w:qFormat/>
    <w:uiPriority w:val="0"/>
  </w:style>
  <w:style w:type="character" w:customStyle="1" w:styleId="13">
    <w:name w:val="页脚 字符"/>
    <w:basedOn w:val="11"/>
    <w:link w:val="7"/>
    <w:qFormat/>
    <w:uiPriority w:val="99"/>
    <w:rPr>
      <w:rFonts w:ascii="Times New Roman" w:hAnsi="Times New Roman" w:eastAsia="宋体" w:cs="Times New Roman"/>
      <w:sz w:val="18"/>
      <w:szCs w:val="18"/>
    </w:rPr>
  </w:style>
  <w:style w:type="character" w:customStyle="1" w:styleId="14">
    <w:name w:val="页眉 字符"/>
    <w:basedOn w:val="11"/>
    <w:link w:val="8"/>
    <w:qFormat/>
    <w:uiPriority w:val="99"/>
    <w:rPr>
      <w:rFonts w:ascii="Times New Roman" w:hAnsi="Times New Roman" w:eastAsia="宋体" w:cs="Times New Roman"/>
      <w:sz w:val="18"/>
      <w:szCs w:val="18"/>
    </w:rPr>
  </w:style>
  <w:style w:type="character" w:customStyle="1" w:styleId="15">
    <w:name w:val="日期 字符"/>
    <w:basedOn w:val="11"/>
    <w:link w:val="5"/>
    <w:semiHidden/>
    <w:qFormat/>
    <w:uiPriority w:val="99"/>
    <w:rPr>
      <w:rFonts w:ascii="Times New Roman" w:hAnsi="Times New Roman" w:eastAsia="宋体" w:cs="Times New Roman"/>
      <w:szCs w:val="24"/>
    </w:rPr>
  </w:style>
  <w:style w:type="paragraph" w:customStyle="1" w:styleId="16">
    <w:name w:val="列出段落1"/>
    <w:basedOn w:val="1"/>
    <w:qFormat/>
    <w:uiPriority w:val="34"/>
    <w:pPr>
      <w:ind w:firstLine="420" w:firstLineChars="200"/>
    </w:pPr>
    <w:rPr>
      <w:rFonts w:ascii="Calibri" w:hAnsi="Calibri"/>
      <w:szCs w:val="22"/>
    </w:rPr>
  </w:style>
  <w:style w:type="paragraph" w:styleId="17">
    <w:name w:val="List Paragraph"/>
    <w:basedOn w:val="1"/>
    <w:qFormat/>
    <w:uiPriority w:val="34"/>
    <w:pPr>
      <w:ind w:firstLine="420" w:firstLineChars="200"/>
    </w:pPr>
    <w:rPr>
      <w:rFonts w:asciiTheme="minorHAnsi" w:hAnsiTheme="minorHAnsi" w:eastAsiaTheme="minorEastAsia" w:cstheme="minorBidi"/>
      <w:sz w:val="24"/>
    </w:rPr>
  </w:style>
  <w:style w:type="character" w:customStyle="1" w:styleId="18">
    <w:name w:val="批注框文本 字符"/>
    <w:basedOn w:val="11"/>
    <w:link w:val="6"/>
    <w:semiHidden/>
    <w:qFormat/>
    <w:uiPriority w:val="99"/>
    <w:rPr>
      <w:rFonts w:ascii="Times New Roman" w:hAnsi="Times New Roman" w:eastAsia="宋体" w:cs="Times New Roman"/>
      <w:kern w:val="2"/>
      <w:sz w:val="18"/>
      <w:szCs w:val="18"/>
    </w:rPr>
  </w:style>
  <w:style w:type="paragraph" w:customStyle="1" w:styleId="19">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200</Words>
  <Characters>1141</Characters>
  <Lines>9</Lines>
  <Paragraphs>2</Paragraphs>
  <TotalTime>2</TotalTime>
  <ScaleCrop>false</ScaleCrop>
  <LinksUpToDate>false</LinksUpToDate>
  <CharactersWithSpaces>1339</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2021-07-07T03:56:00Z</dcterms:created>
  <dc:creator>wzm</dc:creator>
  <cp:lastModifiedBy>yf</cp:lastModifiedBy>
  <dcterms:modified xsi:type="dcterms:W3CDTF">2021-07-08T06:03:49Z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B8A88F5D36874A1CB638E5B2D0451081</vt:lpwstr>
  </property>
</Properties>
</file>