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both"/>
        <w:rPr>
          <w:rFonts w:ascii="宋体" w:eastAsiaTheme="minorEastAsia" w:hAnsi="宋体"/>
          <w:b/>
          <w:kern w:val="2"/>
          <w:sz w:val="28"/>
          <w:szCs w:val="28"/>
        </w:rPr>
      </w:pPr>
      <w:r w:rsidRPr="001F2CC2">
        <w:rPr>
          <w:rFonts w:ascii="宋体" w:eastAsiaTheme="minorEastAsia" w:hAnsi="宋体" w:hint="eastAsia"/>
          <w:b/>
          <w:kern w:val="2"/>
          <w:sz w:val="28"/>
          <w:szCs w:val="28"/>
        </w:rPr>
        <w:t>附件1：</w:t>
      </w:r>
    </w:p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center"/>
        <w:rPr>
          <w:rFonts w:ascii="宋体" w:eastAsiaTheme="minorEastAsia" w:hAnsi="宋体"/>
          <w:b/>
          <w:kern w:val="2"/>
          <w:sz w:val="28"/>
          <w:szCs w:val="28"/>
        </w:rPr>
      </w:pPr>
      <w:r w:rsidRPr="001F2CC2">
        <w:rPr>
          <w:rFonts w:ascii="宋体" w:eastAsiaTheme="minorEastAsia" w:hAnsi="宋体" w:hint="eastAsia"/>
          <w:b/>
          <w:kern w:val="2"/>
          <w:sz w:val="28"/>
          <w:szCs w:val="28"/>
        </w:rPr>
        <w:t>北京市建设工程招标投标协会“</w:t>
      </w:r>
      <w:r w:rsidRPr="001F2CC2">
        <w:rPr>
          <w:rFonts w:asciiTheme="minorHAnsi" w:eastAsiaTheme="minorEastAsia" w:hAnsiTheme="minorHAnsi" w:hint="eastAsia"/>
          <w:b/>
          <w:kern w:val="2"/>
          <w:sz w:val="29"/>
        </w:rPr>
        <w:t>第五届会员大会第二次会议</w:t>
      </w:r>
      <w:r w:rsidRPr="001F2CC2">
        <w:rPr>
          <w:rFonts w:ascii="宋体" w:eastAsiaTheme="minorEastAsia" w:hAnsi="宋体" w:hint="eastAsia"/>
          <w:b/>
          <w:kern w:val="2"/>
          <w:sz w:val="28"/>
          <w:szCs w:val="28"/>
        </w:rPr>
        <w:t>”参会回执表</w:t>
      </w:r>
    </w:p>
    <w:tbl>
      <w:tblPr>
        <w:tblStyle w:val="a5"/>
        <w:tblpPr w:leftFromText="180" w:rightFromText="180" w:vertAnchor="text" w:horzAnchor="margin" w:tblpY="406"/>
        <w:tblW w:w="0" w:type="auto"/>
        <w:tblLayout w:type="fixed"/>
        <w:tblLook w:val="01E0"/>
      </w:tblPr>
      <w:tblGrid>
        <w:gridCol w:w="1188"/>
        <w:gridCol w:w="3960"/>
        <w:gridCol w:w="2160"/>
        <w:gridCol w:w="2340"/>
        <w:gridCol w:w="2520"/>
        <w:gridCol w:w="2520"/>
      </w:tblGrid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 w:rsidRPr="001F2CC2">
              <w:rPr>
                <w:rFonts w:ascii="宋体" w:hAnsi="宋体" w:hint="eastAsia"/>
                <w:sz w:val="24"/>
              </w:rPr>
              <w:t>传真</w:t>
            </w:r>
          </w:p>
        </w:tc>
      </w:tr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rPr>
                <w:rFonts w:ascii="宋体" w:hAnsi="宋体"/>
                <w:sz w:val="24"/>
              </w:rPr>
            </w:pPr>
          </w:p>
        </w:tc>
      </w:tr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rPr>
                <w:rFonts w:ascii="宋体" w:hAnsi="宋体"/>
                <w:sz w:val="24"/>
              </w:rPr>
            </w:pPr>
          </w:p>
        </w:tc>
      </w:tr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1F2CC2" w:rsidRPr="001F2CC2" w:rsidTr="00FA6CDB">
        <w:trPr>
          <w:trHeight w:val="542"/>
        </w:trPr>
        <w:tc>
          <w:tcPr>
            <w:tcW w:w="1188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F2CC2" w:rsidRPr="001F2CC2" w:rsidRDefault="001F2CC2" w:rsidP="001F2CC2">
            <w:pPr>
              <w:adjustRightInd/>
              <w:snapToGrid/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both"/>
        <w:rPr>
          <w:rFonts w:ascii="宋体" w:eastAsiaTheme="minorEastAsia" w:hAnsi="宋体"/>
          <w:kern w:val="2"/>
          <w:sz w:val="24"/>
        </w:rPr>
      </w:pPr>
    </w:p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both"/>
        <w:rPr>
          <w:rFonts w:ascii="宋体" w:eastAsiaTheme="minorEastAsia" w:hAnsi="宋体"/>
          <w:kern w:val="2"/>
          <w:sz w:val="24"/>
        </w:rPr>
      </w:pPr>
      <w:r w:rsidRPr="001F2CC2">
        <w:rPr>
          <w:rFonts w:ascii="宋体" w:eastAsiaTheme="minorEastAsia" w:hAnsi="宋体" w:hint="eastAsia"/>
          <w:kern w:val="2"/>
          <w:sz w:val="24"/>
        </w:rPr>
        <w:t>备注：</w:t>
      </w:r>
    </w:p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both"/>
        <w:rPr>
          <w:rFonts w:ascii="宋体" w:eastAsiaTheme="minorEastAsia" w:hAnsi="宋体"/>
          <w:kern w:val="2"/>
          <w:sz w:val="24"/>
        </w:rPr>
      </w:pPr>
      <w:r w:rsidRPr="001F2CC2">
        <w:rPr>
          <w:rFonts w:ascii="宋体" w:eastAsiaTheme="minorEastAsia" w:hAnsi="宋体" w:hint="eastAsia"/>
          <w:kern w:val="2"/>
          <w:sz w:val="24"/>
        </w:rPr>
        <w:t>1、请详细填写回执表，务必于2017年09月20日下午16:00前，将此回执表传真至010-82370916或发邮件至bjacpb@163.com，以便会务安排；</w:t>
      </w:r>
    </w:p>
    <w:p w:rsidR="001F2CC2" w:rsidRPr="001F2CC2" w:rsidRDefault="001F2CC2" w:rsidP="001F2CC2">
      <w:pPr>
        <w:widowControl w:val="0"/>
        <w:adjustRightInd/>
        <w:snapToGrid/>
        <w:spacing w:after="0" w:line="500" w:lineRule="exact"/>
        <w:ind w:right="420"/>
        <w:jc w:val="both"/>
        <w:rPr>
          <w:rFonts w:ascii="宋体" w:eastAsiaTheme="minorEastAsia" w:hAnsi="宋体"/>
          <w:kern w:val="2"/>
          <w:sz w:val="24"/>
        </w:rPr>
      </w:pPr>
      <w:r w:rsidRPr="001F2CC2">
        <w:rPr>
          <w:rFonts w:ascii="宋体" w:eastAsiaTheme="minorEastAsia" w:hAnsi="宋体" w:hint="eastAsia"/>
          <w:kern w:val="2"/>
          <w:sz w:val="24"/>
        </w:rPr>
        <w:t>2、会务回执联系人：王晖 刘晨旸；  电话：010-82370916。</w:t>
      </w:r>
    </w:p>
    <w:p w:rsidR="004358AB" w:rsidRDefault="004358AB" w:rsidP="00D31D50">
      <w:pPr>
        <w:spacing w:line="220" w:lineRule="atLeast"/>
      </w:pPr>
    </w:p>
    <w:sectPr w:rsidR="004358AB" w:rsidSect="001F2C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6C" w:rsidRDefault="00FA706C" w:rsidP="001F2CC2">
      <w:pPr>
        <w:spacing w:after="0"/>
      </w:pPr>
      <w:r>
        <w:separator/>
      </w:r>
    </w:p>
  </w:endnote>
  <w:endnote w:type="continuationSeparator" w:id="0">
    <w:p w:rsidR="00FA706C" w:rsidRDefault="00FA706C" w:rsidP="001F2C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6C" w:rsidRDefault="00FA706C" w:rsidP="001F2CC2">
      <w:pPr>
        <w:spacing w:after="0"/>
      </w:pPr>
      <w:r>
        <w:separator/>
      </w:r>
    </w:p>
  </w:footnote>
  <w:footnote w:type="continuationSeparator" w:id="0">
    <w:p w:rsidR="00FA706C" w:rsidRDefault="00FA706C" w:rsidP="001F2C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2CC2"/>
    <w:rsid w:val="00323B43"/>
    <w:rsid w:val="003D37D8"/>
    <w:rsid w:val="00426133"/>
    <w:rsid w:val="004358AB"/>
    <w:rsid w:val="00786117"/>
    <w:rsid w:val="008B7726"/>
    <w:rsid w:val="00D31D50"/>
    <w:rsid w:val="00FA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C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C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C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CC2"/>
    <w:rPr>
      <w:rFonts w:ascii="Tahoma" w:hAnsi="Tahoma"/>
      <w:sz w:val="18"/>
      <w:szCs w:val="18"/>
    </w:rPr>
  </w:style>
  <w:style w:type="table" w:styleId="a5">
    <w:name w:val="Table Grid"/>
    <w:basedOn w:val="a1"/>
    <w:rsid w:val="001F2C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2017-09-13T06:48:00Z</dcterms:modified>
</cp:coreProperties>
</file>